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4d08b88f786507491f69bf78a7c68eec1024266"/>
    <w:p>
      <w:pPr>
        <w:pStyle w:val="Heading1"/>
      </w:pPr>
      <w:r>
        <w:t xml:space="preserve">Lipid Matrix Extended-Release Pharmaceutical Compositions — Broad Genus Defensive Publication</w:t>
      </w:r>
    </w:p>
    <w:bookmarkStart w:id="10" w:name="defensive-publication-notice"/>
    <w:p>
      <w:pPr>
        <w:pStyle w:val="Heading2"/>
      </w:pPr>
      <w:r>
        <w:t xml:space="preserve">DEFENSIVE PUBLICATION NOTICE</w:t>
      </w:r>
    </w:p>
    <w:p>
      <w:pPr>
        <w:pStyle w:val="FirstParagraph"/>
      </w:pPr>
      <w:r>
        <w:rPr>
          <w:b/>
          <w:bCs/>
        </w:rPr>
        <w:t xml:space="preserve">Date of Public Disclosure:</w:t>
      </w:r>
      <w:r>
        <w:t xml:space="preserve"> </w:t>
      </w:r>
      <w:r>
        <w:t xml:space="preserve">May 4, 2026</w:t>
      </w:r>
    </w:p>
    <w:p>
      <w:pPr>
        <w:pStyle w:val="BodyText"/>
      </w:pPr>
      <w:r>
        <w:rPr>
          <w:b/>
          <w:bCs/>
        </w:rPr>
        <w:t xml:space="preserve">Title:</w:t>
      </w:r>
      <w:r>
        <w:t xml:space="preserve"> </w:t>
      </w:r>
      <w:r>
        <w:t xml:space="preserve">Lipid Matrix Extended-Release Pharmaceutical Compositions, Methods of Manufacture, Dosage Forms, and Therapeutic Combinations — Comprehensive Genus Disclosure</w:t>
      </w:r>
    </w:p>
    <w:p>
      <w:pPr>
        <w:pStyle w:val="BodyText"/>
      </w:pPr>
      <w:r>
        <w:rPr>
          <w:b/>
          <w:bCs/>
        </w:rPr>
        <w:t xml:space="preserve">Discloser:</w:t>
      </w:r>
      <w:r>
        <w:t xml:space="preserve"> </w:t>
      </w:r>
      <w:hyperlink r:id="rId9">
        <w:r>
          <w:rPr>
            <w:rStyle w:val="Hyperlink"/>
          </w:rPr>
          <w:t xml:space="preserve">@apbakst</w:t>
        </w:r>
      </w:hyperlink>
    </w:p>
    <w:p>
      <w:pPr>
        <w:pStyle w:val="BodyText"/>
      </w:pPr>
      <w:r>
        <w:rPr>
          <w:b/>
          <w:bCs/>
        </w:rPr>
        <w:t xml:space="preserve">Relationship to prior disclosure:</w:t>
      </w:r>
      <w:r>
        <w:t xml:space="preserve"> </w:t>
      </w:r>
      <w:r>
        <w:t xml:space="preserve">This document is a continuation and broadening of the lipid matrix disclosure originally published in this repository on February 4, 2026 (see</w:t>
      </w:r>
      <w:r>
        <w:t xml:space="preserve"> </w:t>
      </w:r>
      <w:r>
        <w:rPr>
          <w:rStyle w:val="VerbatimChar"/>
        </w:rPr>
        <w:t xml:space="preserve">Lipid_Matrix_Formulation_Protocol</w:t>
      </w:r>
      <w:r>
        <w:t xml:space="preserve">,</w:t>
      </w:r>
      <w:r>
        <w:t xml:space="preserve"> </w:t>
      </w:r>
      <w:r>
        <w:rPr>
          <w:rStyle w:val="VerbatimChar"/>
        </w:rPr>
        <w:t xml:space="preserve">Minoxidil_ER_Formulations</w:t>
      </w:r>
      <w:r>
        <w:t xml:space="preserve">). It is intended to expand the public-domain genus to the maximum extent supportable by a person of ordinary skill in the pharmaceutical arts.</w:t>
      </w:r>
    </w:p>
    <w:p>
      <w:r>
        <w:pict>
          <v:rect style="width:0;height:1.5pt" o:hralign="center" o:hrstd="t" o:hr="t"/>
        </w:pict>
      </w:r>
    </w:p>
    <w:bookmarkEnd w:id="10"/>
    <w:bookmarkStart w:id="12" w:name="purpose-and-legal-statement"/>
    <w:p>
      <w:pPr>
        <w:pStyle w:val="Heading2"/>
      </w:pPr>
      <w:r>
        <w:t xml:space="preserve">1. PURPOSE AND LEGAL STATEMENT</w:t>
      </w:r>
    </w:p>
    <w:p>
      <w:pPr>
        <w:pStyle w:val="FirstParagraph"/>
      </w:pPr>
      <w:r>
        <w:t xml:space="preserve">This technical disclosure is published to:</w:t>
      </w:r>
    </w:p>
    <w:p>
      <w:pPr>
        <w:pStyle w:val="Compact"/>
        <w:numPr>
          <w:ilvl w:val="0"/>
          <w:numId w:val="1001"/>
        </w:numPr>
      </w:pPr>
      <w:r>
        <w:t xml:space="preserve">Establish prior art under 35 U.S.C. § 102(a)(1) for all subject matter described or reasonably suggested herein.</w:t>
      </w:r>
    </w:p>
    <w:p>
      <w:pPr>
        <w:pStyle w:val="Compact"/>
        <w:numPr>
          <w:ilvl w:val="0"/>
          <w:numId w:val="1001"/>
        </w:numPr>
      </w:pPr>
      <w:r>
        <w:t xml:space="preserve">Place the disclosed genus, sub-genera, species, embodiments, ranges, methods, dosage forms, and combinations into the public domain.</w:t>
      </w:r>
    </w:p>
    <w:p>
      <w:pPr>
        <w:pStyle w:val="Compact"/>
        <w:numPr>
          <w:ilvl w:val="0"/>
          <w:numId w:val="1001"/>
        </w:numPr>
      </w:pPr>
      <w:r>
        <w:t xml:space="preserve">Foreclose third-party patenting of the disclosed subject matter in the United States, the European Patent Office (EPC Art. 54), and other jurisdictions recognizing printed publications as prior art.</w:t>
      </w:r>
    </w:p>
    <w:p>
      <w:pPr>
        <w:pStyle w:val="FirstParagraph"/>
      </w:pPr>
      <w:r>
        <w:t xml:space="preserve">The discloser hereby dedicates all written content of this document to the public domain under</w:t>
      </w:r>
      <w:r>
        <w:t xml:space="preserve"> </w:t>
      </w:r>
      <w:hyperlink r:id="rId11">
        <w:r>
          <w:rPr>
            <w:rStyle w:val="Hyperlink"/>
          </w:rPr>
          <w:t xml:space="preserve">CC0 1.0 Universal</w:t>
        </w:r>
      </w:hyperlink>
      <w:r>
        <w:t xml:space="preserve">. Any person or entity is free to use, manufacture, sell, import, export, and commercialize the disclosed subject matter without license or royalty.</w:t>
      </w:r>
    </w:p>
    <w:p>
      <w:pPr>
        <w:pStyle w:val="BodyText"/>
      </w:pPr>
      <w:r>
        <w:t xml:space="preserve">The discloser reserves the inventor grace period rights under 35 U.S.C. § 102(b)(1)(A) (one year from the earliest disclosure date in this repository).</w:t>
      </w:r>
    </w:p>
    <w:p>
      <w:pPr>
        <w:pStyle w:val="BodyText"/>
      </w:pPr>
      <w:r>
        <w:t xml:space="preserve">This is a technical prior-art disclosure, not medical advice. None of the formulations or combinations described herein have been evaluated by any regulatory authority. Any clinical use requires appropriate regulatory authorization.</w:t>
      </w:r>
    </w:p>
    <w:p>
      <w:r>
        <w:pict>
          <v:rect style="width:0;height:1.5pt" o:hralign="center" o:hrstd="t" o:hr="t"/>
        </w:pict>
      </w:r>
    </w:p>
    <w:bookmarkEnd w:id="12"/>
    <w:bookmarkStart w:id="13" w:name="field-of-the-disclosure"/>
    <w:p>
      <w:pPr>
        <w:pStyle w:val="Heading2"/>
      </w:pPr>
      <w:r>
        <w:t xml:space="preserve">2. FIELD OF THE DISCLOSURE</w:t>
      </w:r>
    </w:p>
    <w:p>
      <w:pPr>
        <w:pStyle w:val="FirstParagraph"/>
      </w:pPr>
      <w:r>
        <w:t xml:space="preserve">The disclosure relates to oral, sublingual, buccal, and other solid dosage forms providing extended, sustained, controlled, modified, prolonged, delayed, pulsatile, biphasic, or zero-order release of one or more active pharmaceutical ingredients (</w:t>
      </w:r>
      <w:r>
        <w:t xml:space="preserve">“APIs”</w:t>
      </w:r>
      <w:r>
        <w:t xml:space="preserve">) from a lipid-containing matrix. The lipid matrix may be the sole release-controlling phase, the dominant release-controlling phase, or one of two or more release-controlling phases in a multiphasic dosage form.</w:t>
      </w:r>
    </w:p>
    <w:p>
      <w:pPr>
        <w:pStyle w:val="BodyText"/>
      </w:pPr>
      <w:r>
        <w:t xml:space="preserve">The disclosure is particularly applicable to extended-release oral minoxidil for the treatment of hair loss, but expressly extends to any small-molecule API for which a lipid-matrix extended-release form is therapeutically useful.</w:t>
      </w:r>
    </w:p>
    <w:p>
      <w:r>
        <w:pict>
          <v:rect style="width:0;height:1.5pt" o:hralign="center" o:hrstd="t" o:hr="t"/>
        </w:pict>
      </w:r>
    </w:p>
    <w:bookmarkEnd w:id="13"/>
    <w:bookmarkStart w:id="14" w:name="problem-addressed"/>
    <w:p>
      <w:pPr>
        <w:pStyle w:val="Heading2"/>
      </w:pPr>
      <w:r>
        <w:t xml:space="preserve">3. PROBLEM ADDRESSED</w:t>
      </w:r>
    </w:p>
    <w:p>
      <w:pPr>
        <w:pStyle w:val="FirstParagraph"/>
      </w:pPr>
      <w:r>
        <w:t xml:space="preserve">Immediate-release oral minoxidil produces a Cmax that may exceed the cardiac activity threshold (~20 ng/mL), causing tachycardia, hypotension, edema, and other dose-limiting effects. Lipid matrix systems provide an extended-release pathway based on erosion, diffusion, and/or dissolution through hydrophobic and amphiphilic excipients. They are useful for any sparingly water-soluble API requiring reduced peak plasma concentration, sustained therapeutic levels, reduced dosing frequency, improved adherence, reduced food effect, or improved tolerability.</w:t>
      </w:r>
    </w:p>
    <w:p>
      <w:r>
        <w:pict>
          <v:rect style="width:0;height:1.5pt" o:hralign="center" o:hrstd="t" o:hr="t"/>
        </w:pict>
      </w:r>
    </w:p>
    <w:bookmarkEnd w:id="14"/>
    <w:bookmarkStart w:id="15" w:name="genus-composition"/>
    <w:p>
      <w:pPr>
        <w:pStyle w:val="Heading2"/>
      </w:pPr>
      <w:r>
        <w:t xml:space="preserve">4. GENUS COMPOSITION</w:t>
      </w:r>
    </w:p>
    <w:p>
      <w:pPr>
        <w:pStyle w:val="FirstParagraph"/>
      </w:pPr>
      <w:r>
        <w:t xml:space="preserve">A pharmaceutical composition disclosed herein comprises:</w:t>
      </w:r>
    </w:p>
    <w:p>
      <w:pPr>
        <w:pStyle w:val="Compact"/>
        <w:numPr>
          <w:ilvl w:val="0"/>
          <w:numId w:val="1002"/>
        </w:numPr>
      </w:pPr>
      <w:r>
        <w:t xml:space="preserve">one or more APIs as defined in §10;</w:t>
      </w:r>
    </w:p>
    <w:p>
      <w:pPr>
        <w:pStyle w:val="Compact"/>
        <w:numPr>
          <w:ilvl w:val="0"/>
          <w:numId w:val="1002"/>
        </w:numPr>
      </w:pPr>
      <w:r>
        <w:t xml:space="preserve">one or more lipid matrix formers as defined in §5, in a total amount of about</w:t>
      </w:r>
      <w:r>
        <w:t xml:space="preserve"> </w:t>
      </w:r>
      <w:r>
        <w:rPr>
          <w:b/>
          <w:bCs/>
        </w:rPr>
        <w:t xml:space="preserve">5% to about 95% by weight</w:t>
      </w:r>
      <w:r>
        <w:t xml:space="preserve"> </w:t>
      </w:r>
      <w:r>
        <w:t xml:space="preserve">of the composition (preferably about 20% to about 80%, more preferably about 30% to about 70%, most preferably about 40% to about 60%);</w:t>
      </w:r>
    </w:p>
    <w:p>
      <w:pPr>
        <w:pStyle w:val="Compact"/>
        <w:numPr>
          <w:ilvl w:val="0"/>
          <w:numId w:val="1002"/>
        </w:numPr>
      </w:pPr>
      <w:r>
        <w:t xml:space="preserve">optionally one or more release-modifying excipients (pore-formers, channeling agents, hydrophilic polymers, sugars, salts, or osmogens) as defined in §6, in a total amount of about</w:t>
      </w:r>
      <w:r>
        <w:t xml:space="preserve"> </w:t>
      </w:r>
      <w:r>
        <w:rPr>
          <w:b/>
          <w:bCs/>
        </w:rPr>
        <w:t xml:space="preserve">0% to about 50% by weight</w:t>
      </w:r>
      <w:r>
        <w:t xml:space="preserve"> </w:t>
      </w:r>
      <w:r>
        <w:t xml:space="preserve">(preferably about 0.5% to about 40%, more preferably about 2% to about 25%, most preferably about 3% to about 15%);</w:t>
      </w:r>
    </w:p>
    <w:p>
      <w:pPr>
        <w:pStyle w:val="Compact"/>
        <w:numPr>
          <w:ilvl w:val="0"/>
          <w:numId w:val="1002"/>
        </w:numPr>
      </w:pPr>
      <w:r>
        <w:t xml:space="preserve">optionally one or more surfactants, wetting agents, or solubility enhancers as defined in §7, in a total amount of about</w:t>
      </w:r>
      <w:r>
        <w:t xml:space="preserve"> </w:t>
      </w:r>
      <w:r>
        <w:rPr>
          <w:b/>
          <w:bCs/>
        </w:rPr>
        <w:t xml:space="preserve">0% to about 25% by weight</w:t>
      </w:r>
      <w:r>
        <w:t xml:space="preserve"> </w:t>
      </w:r>
      <w:r>
        <w:t xml:space="preserve">(preferably about 0.1% to about 15%, most preferably about 0.5% to about 8%);</w:t>
      </w:r>
    </w:p>
    <w:p>
      <w:pPr>
        <w:pStyle w:val="Compact"/>
        <w:numPr>
          <w:ilvl w:val="0"/>
          <w:numId w:val="1002"/>
        </w:numPr>
      </w:pPr>
      <w:r>
        <w:t xml:space="preserve">optionally one or more fillers, diluents, or compression aids as defined in §8, in a total amount of about</w:t>
      </w:r>
      <w:r>
        <w:t xml:space="preserve"> </w:t>
      </w:r>
      <w:r>
        <w:rPr>
          <w:b/>
          <w:bCs/>
        </w:rPr>
        <w:t xml:space="preserve">0% to about 80% by weight</w:t>
      </w:r>
      <w:r>
        <w:t xml:space="preserve"> </w:t>
      </w:r>
      <w:r>
        <w:t xml:space="preserve">(preferably about 5% to about 60%, most preferably about 10% to about 40%);</w:t>
      </w:r>
    </w:p>
    <w:p>
      <w:pPr>
        <w:pStyle w:val="Compact"/>
        <w:numPr>
          <w:ilvl w:val="0"/>
          <w:numId w:val="1002"/>
        </w:numPr>
      </w:pPr>
      <w:r>
        <w:t xml:space="preserve">optionally one or more lubricants, glidants, or anti-adherents as defined in §9, in a total amount of about</w:t>
      </w:r>
      <w:r>
        <w:t xml:space="preserve"> </w:t>
      </w:r>
      <w:r>
        <w:rPr>
          <w:b/>
          <w:bCs/>
        </w:rPr>
        <w:t xml:space="preserve">0% to about 10% by weight</w:t>
      </w:r>
      <w:r>
        <w:t xml:space="preserve"> </w:t>
      </w:r>
      <w:r>
        <w:t xml:space="preserve">(preferably about 0.1% to about 5%);</w:t>
      </w:r>
    </w:p>
    <w:p>
      <w:pPr>
        <w:pStyle w:val="Compact"/>
        <w:numPr>
          <w:ilvl w:val="0"/>
          <w:numId w:val="1002"/>
        </w:numPr>
      </w:pPr>
      <w:r>
        <w:t xml:space="preserve">optionally one or more plasticizers, antioxidants, stabilizers, colorants, flavorants, sweeteners, taste-maskers, or preservatives as defined in §11;</w:t>
      </w:r>
    </w:p>
    <w:p>
      <w:pPr>
        <w:pStyle w:val="Compact"/>
        <w:numPr>
          <w:ilvl w:val="0"/>
          <w:numId w:val="1002"/>
        </w:numPr>
      </w:pPr>
      <w:r>
        <w:t xml:space="preserve">optionally one or more functional or non-functional coatings as defined in §13.</w:t>
      </w:r>
    </w:p>
    <w:p>
      <w:pPr>
        <w:pStyle w:val="FirstParagraph"/>
      </w:pPr>
      <w:r>
        <w:t xml:space="preserve">All ranges include their endpoints. All sub-ranges of each range, and all combinations of ranges across components (a)–(h), are individually disclosed. Where a range is given, every integer percentage and every 0.1% increment within the range is disclosed as a specific embodiment.</w:t>
      </w:r>
    </w:p>
    <w:p>
      <w:r>
        <w:pict>
          <v:rect style="width:0;height:1.5pt" o:hralign="center" o:hrstd="t" o:hr="t"/>
        </w:pict>
      </w:r>
    </w:p>
    <w:bookmarkEnd w:id="15"/>
    <w:bookmarkStart w:id="30" w:name="lipid-matrix-former-genus"/>
    <w:p>
      <w:pPr>
        <w:pStyle w:val="Heading2"/>
      </w:pPr>
      <w:r>
        <w:t xml:space="preserve">5. LIPID MATRIX FORMER GENUS</w:t>
      </w:r>
    </w:p>
    <w:p>
      <w:pPr>
        <w:pStyle w:val="FirstParagraph"/>
      </w:pPr>
      <w:r>
        <w:t xml:space="preserve">The lipid matrix former (component (b)) comprises one or more excipients selected from, but not limited to, the following non-exhaustive list. Mixtures of any two or more in any ratio are expressly disclosed.</w:t>
      </w:r>
    </w:p>
    <w:bookmarkStart w:id="16" w:name="glyceryl-esters-of-fatty-acids"/>
    <w:p>
      <w:pPr>
        <w:pStyle w:val="Heading3"/>
      </w:pPr>
      <w:r>
        <w:t xml:space="preserve">5.1 Glyceryl esters of fatty acids</w:t>
      </w:r>
    </w:p>
    <w:p>
      <w:pPr>
        <w:pStyle w:val="FirstParagraph"/>
      </w:pPr>
      <w:r>
        <w:t xml:space="preserve">Glyceryl monostearate (Type I, II, III, all melting grades); glyceryl distearate; glyceryl tristearate (tristearin); glyceryl monobehenate; glyceryl dibehenate; glyceryl tribehenate; glyceryl behenate (Compritol 888 ATO and equivalents); glyceryl palmitostearate (Precirol ATO 5 and equivalents); glyceryl monopalmitate; glyceryl dipalmitate; glyceryl tripalmitate; glyceryl monolaurate; glyceryl dilaurate; glyceryl trilaurate (trilaurin); glyceryl monomyristate; glyceryl dimyristate; glyceryl trimyristate; glyceryl monocaprylate; glyceryl dicaprylate; glyceryl monocaprate; glyceryl dicaprate; glyceryl monocaprylocaprate; glyceryl monooleate (Peceol); glyceryl dioleate; glyceryl trioleate (triolein); glyceryl monolinoleate (Maisine); glyceryl ricinoleate; mixed mono-, di-, and triglycerides of any chain length C6–C24, saturated, mono-unsaturated, or polyunsaturated.</w:t>
      </w:r>
    </w:p>
    <w:bookmarkEnd w:id="16"/>
    <w:bookmarkStart w:id="17" w:name="Xd5b8bab4ea2bab8a8d32cc596ed09122c058a86"/>
    <w:p>
      <w:pPr>
        <w:pStyle w:val="Heading3"/>
      </w:pPr>
      <w:r>
        <w:t xml:space="preserve">5.2 Polyglycolyzed glycerides (Gelucires and equivalents)</w:t>
      </w:r>
    </w:p>
    <w:p>
      <w:pPr>
        <w:pStyle w:val="FirstParagraph"/>
      </w:pPr>
      <w:r>
        <w:t xml:space="preserve">Gelucire 33/01; Gelucire 39/01; Gelucire 43/01; Gelucire 44/14; Gelucire 48/16; Gelucire 50/13; Gelucire 53/10; Gelucire 62/05; lauroyl macrogol-32 glycerides; lauroyl polyoxyl-32 glycerides; stearoyl macrogol-32 glycerides; stearoyl polyoxyl-32 glycerides; oleoyl macrogol-6 glycerides (Labrafil M 1944 CS); linoleoyl macrogol-6 glycerides (Labrafil M 2125 CS); caprylocaproyl macrogol-8 glycerides (Labrasol); any commercially available or custom-synthesized PEGylated glyceride with HLB between 1 and 18.</w:t>
      </w:r>
    </w:p>
    <w:bookmarkEnd w:id="17"/>
    <w:bookmarkStart w:id="18" w:name="fatty-acids-and-salts"/>
    <w:p>
      <w:pPr>
        <w:pStyle w:val="Heading3"/>
      </w:pPr>
      <w:r>
        <w:t xml:space="preserve">5.3 Fatty acids and salts</w:t>
      </w:r>
    </w:p>
    <w:p>
      <w:pPr>
        <w:pStyle w:val="FirstParagraph"/>
      </w:pPr>
      <w:r>
        <w:t xml:space="preserve">Stearic acid; palmitic acid; behenic acid; arachidic acid; lauric acid; myristic acid; oleic acid; linoleic acid; linolenic acid; ricinoleic acid; hydroxystearic acid; 12-hydroxystearic acid. Sodium, potassium, calcium, magnesium, zinc, and aluminum salts of any of the foregoing.</w:t>
      </w:r>
    </w:p>
    <w:bookmarkEnd w:id="18"/>
    <w:bookmarkStart w:id="19" w:name="fatty-alcohols"/>
    <w:p>
      <w:pPr>
        <w:pStyle w:val="Heading3"/>
      </w:pPr>
      <w:r>
        <w:t xml:space="preserve">5.4 Fatty alcohols</w:t>
      </w:r>
    </w:p>
    <w:p>
      <w:pPr>
        <w:pStyle w:val="FirstParagraph"/>
      </w:pPr>
      <w:r>
        <w:t xml:space="preserve">Stearyl alcohol; cetyl alcohol; cetostearyl alcohol; behenyl alcohol; myristyl alcohol; lauryl alcohol; oleyl alcohol; arachidyl alcohol; mixtures of C16–C24 saturated and mono-unsaturated alcohols.</w:t>
      </w:r>
    </w:p>
    <w:bookmarkEnd w:id="19"/>
    <w:bookmarkStart w:id="20" w:name="X652b6c62aefdcbb2ec86f49a99292054ff72a1d"/>
    <w:p>
      <w:pPr>
        <w:pStyle w:val="Heading3"/>
      </w:pPr>
      <w:r>
        <w:t xml:space="preserve">5.5 Waxes (natural, synthetic, and semi-synthetic)</w:t>
      </w:r>
    </w:p>
    <w:p>
      <w:pPr>
        <w:pStyle w:val="FirstParagraph"/>
      </w:pPr>
      <w:r>
        <w:t xml:space="preserve">Carnauba wax; candelilla wax; beeswax (white or yellow); microcrystalline wax; paraffin wax; ozokerite; ceresin; Japan wax; jojoba wax; rice bran wax; sunflower wax; bayberry wax; lanolin and lanolin alcohols; cetyl esters wax; synthetic spermaceti; petrolatum (high-melting fractions); polyethylene wax; Fischer-Tropsch wax; oxidized polyethylene wax.</w:t>
      </w:r>
    </w:p>
    <w:bookmarkEnd w:id="20"/>
    <w:bookmarkStart w:id="21" w:name="hydrogenated-oils"/>
    <w:p>
      <w:pPr>
        <w:pStyle w:val="Heading3"/>
      </w:pPr>
      <w:r>
        <w:t xml:space="preserve">5.6 Hydrogenated oils</w:t>
      </w:r>
    </w:p>
    <w:p>
      <w:pPr>
        <w:pStyle w:val="FirstParagraph"/>
      </w:pPr>
      <w:r>
        <w:t xml:space="preserve">Hydrogenated castor oil (Cutina HR, Lubritab, Sterotex); hydrogenated cottonseed oil (Lubritab, Sterotex K); hydrogenated soybean oil; hydrogenated palm oil; hydrogenated palm kernel oil; hydrogenated coconut oil; hydrogenated peanut oil; hydrogenated rapeseed oil; hydrogenated sunflower oil; hydrogenated rice bran oil; hydrogenated vegetable oils generally, with iodine values from 0 to 30.</w:t>
      </w:r>
    </w:p>
    <w:bookmarkEnd w:id="21"/>
    <w:bookmarkStart w:id="22" w:name="sugar-esters-of-fatty-acids"/>
    <w:p>
      <w:pPr>
        <w:pStyle w:val="Heading3"/>
      </w:pPr>
      <w:r>
        <w:t xml:space="preserve">5.7 Sugar esters of fatty acids</w:t>
      </w:r>
    </w:p>
    <w:p>
      <w:pPr>
        <w:pStyle w:val="FirstParagraph"/>
      </w:pPr>
      <w:r>
        <w:t xml:space="preserve">Sucrose monostearate; sucrose distearate; sucrose monopalmitate; sucrose monolaurate; sucrose monomyristate; sucrose monobehenate; sucrose esters of HLB 1–16 (e.g., Surfhope SE Cosme/Pharma series).</w:t>
      </w:r>
    </w:p>
    <w:bookmarkEnd w:id="22"/>
    <w:bookmarkStart w:id="23" w:name="polyglyceryl-esters"/>
    <w:p>
      <w:pPr>
        <w:pStyle w:val="Heading3"/>
      </w:pPr>
      <w:r>
        <w:t xml:space="preserve">5.8 Polyglyceryl esters</w:t>
      </w:r>
    </w:p>
    <w:p>
      <w:pPr>
        <w:pStyle w:val="FirstParagraph"/>
      </w:pPr>
      <w:r>
        <w:t xml:space="preserve">Polyglyceryl-2 stearate; polyglyceryl-3 stearate; polyglyceryl-6 stearate; polyglyceryl-10 stearate; polyglyceryl-2 dipolyhydroxystearate; polyglyceryl-3 polyricinoleate; polyglyceryl-4 isostearate; polyglyceryl-3 diisostearate; polyglyceryl esters of HLB 1–16.</w:t>
      </w:r>
    </w:p>
    <w:bookmarkEnd w:id="23"/>
    <w:bookmarkStart w:id="24" w:name="sorbitan-and-related-esters"/>
    <w:p>
      <w:pPr>
        <w:pStyle w:val="Heading3"/>
      </w:pPr>
      <w:r>
        <w:t xml:space="preserve">5.9 Sorbitan and related esters</w:t>
      </w:r>
    </w:p>
    <w:p>
      <w:pPr>
        <w:pStyle w:val="FirstParagraph"/>
      </w:pPr>
      <w:r>
        <w:t xml:space="preserve">Sorbitan monolaurate (Span 20); sorbitan monopalmitate (Span 40); sorbitan monostearate (Span 60); sorbitan tristearate (Span 65); sorbitan monooleate (Span 80); sorbitan trioleate (Span 85); sorbitan sesquioleate.</w:t>
      </w:r>
    </w:p>
    <w:bookmarkEnd w:id="24"/>
    <w:bookmarkStart w:id="25" w:name="Xd9b2b1d0bd2f9d60bb68f3ce6f52a3417c52d86"/>
    <w:p>
      <w:pPr>
        <w:pStyle w:val="Heading3"/>
      </w:pPr>
      <w:r>
        <w:t xml:space="preserve">5.10 Phospholipids and lecithins (when used as solid-state matrix component)</w:t>
      </w:r>
    </w:p>
    <w:p>
      <w:pPr>
        <w:pStyle w:val="FirstParagraph"/>
      </w:pPr>
      <w:r>
        <w:t xml:space="preserve">Soybean lecithin (high-melting fractions); egg lecithin; hydrogenated soybean phosphatidylcholine; hydrogenated egg phosphatidylcholine; distearoylphosphatidylcholine (DSPC); dipalmitoylphosphatidylcholine (DPPC); phosphatidylethanolamine; phosphatidylglycerol; sphingomyelin; ceramides.</w:t>
      </w:r>
    </w:p>
    <w:bookmarkEnd w:id="25"/>
    <w:bookmarkStart w:id="26" w:name="cholesterol-and-sterol-esters"/>
    <w:p>
      <w:pPr>
        <w:pStyle w:val="Heading3"/>
      </w:pPr>
      <w:r>
        <w:t xml:space="preserve">5.11 Cholesterol and sterol esters</w:t>
      </w:r>
    </w:p>
    <w:p>
      <w:pPr>
        <w:pStyle w:val="FirstParagraph"/>
      </w:pPr>
      <w:r>
        <w:t xml:space="preserve">Cholesterol; β-sitosterol; stigmasterol; campesterol; cholesteryl palmitate; cholesteryl stearate; cholesteryl oleate; phytosterol esters.</w:t>
      </w:r>
    </w:p>
    <w:bookmarkEnd w:id="26"/>
    <w:bookmarkStart w:id="27" w:name="Xc71dfde83c0eabc45b57211b7eb0601f51d2b69"/>
    <w:p>
      <w:pPr>
        <w:pStyle w:val="Heading3"/>
      </w:pPr>
      <w:r>
        <w:t xml:space="preserve">5.12 Solid lipid carriers and structured lipids</w:t>
      </w:r>
    </w:p>
    <w:p>
      <w:pPr>
        <w:pStyle w:val="FirstParagraph"/>
      </w:pPr>
      <w:r>
        <w:t xml:space="preserve">Solid lipid microparticles (SLM); solid lipid nanoparticles (SLN); nanostructured lipid carriers (NLC); lipid microspheres; lipid pellets; cocoa butter; shea butter; murumuru butter; cupuaçu butter; mango butter; kokum butter; illipe butter; any natural or fractionated triglyceride butter with melting point ≥30 °C.</w:t>
      </w:r>
    </w:p>
    <w:bookmarkEnd w:id="27"/>
    <w:bookmarkStart w:id="28" w:name="synthetic-lipid-analogs"/>
    <w:p>
      <w:pPr>
        <w:pStyle w:val="Heading3"/>
      </w:pPr>
      <w:r>
        <w:t xml:space="preserve">5.13 Synthetic lipid analogs</w:t>
      </w:r>
    </w:p>
    <w:p>
      <w:pPr>
        <w:pStyle w:val="FirstParagraph"/>
      </w:pPr>
      <w:r>
        <w:t xml:space="preserve">Polyglycerol polyricinoleate (PGPR); diacylglycerols of any chain length C6–C24; monoacylglycerols of any chain length C6–C24; structured triglycerides (medium-chain/long-chain); behenoyl polyoxyl-8 glycerides (Compritol HD5 ATO); stearoyl polyoxyl-32 glycerides (Gelot 64).</w:t>
      </w:r>
    </w:p>
    <w:bookmarkEnd w:id="28"/>
    <w:bookmarkStart w:id="29" w:name="mixtures-and-ratios"/>
    <w:p>
      <w:pPr>
        <w:pStyle w:val="Heading3"/>
      </w:pPr>
      <w:r>
        <w:t xml:space="preserve">5.14 Mixtures and ratios</w:t>
      </w:r>
    </w:p>
    <w:p>
      <w:pPr>
        <w:pStyle w:val="FirstParagraph"/>
      </w:pPr>
      <w:r>
        <w:t xml:space="preserve">Any binary mixture of two excipients selected from §§5.1–5.13 in any weight ratio from 1:99 to 99:1 is expressly disclosed. Any ternary mixture in any ratio summing to 100% is expressly disclosed. Any quaternary or higher-order mixture is expressly disclosed.</w:t>
      </w:r>
    </w:p>
    <w:p>
      <w:pPr>
        <w:pStyle w:val="BodyText"/>
      </w:pPr>
      <w:r>
        <w:t xml:space="preserve">Specific preferred binary and ternary lipid blends include, without limitation:</w:t>
      </w:r>
    </w:p>
    <w:p>
      <w:pPr>
        <w:pStyle w:val="Compact"/>
        <w:numPr>
          <w:ilvl w:val="0"/>
          <w:numId w:val="1003"/>
        </w:numPr>
      </w:pPr>
      <w:r>
        <w:t xml:space="preserve">Glyceryl behenate + glyceryl palmitostearate (any ratio 1:9 to 9:1)</w:t>
      </w:r>
    </w:p>
    <w:p>
      <w:pPr>
        <w:pStyle w:val="Compact"/>
        <w:numPr>
          <w:ilvl w:val="0"/>
          <w:numId w:val="1003"/>
        </w:numPr>
      </w:pPr>
      <w:r>
        <w:t xml:space="preserve">Glyceryl behenate + carnauba wax (any ratio 1:9 to 9:1)</w:t>
      </w:r>
    </w:p>
    <w:p>
      <w:pPr>
        <w:pStyle w:val="Compact"/>
        <w:numPr>
          <w:ilvl w:val="0"/>
          <w:numId w:val="1003"/>
        </w:numPr>
      </w:pPr>
      <w:r>
        <w:t xml:space="preserve">Glyceryl behenate + hydrogenated castor oil (any ratio 1:9 to 9:1)</w:t>
      </w:r>
    </w:p>
    <w:p>
      <w:pPr>
        <w:pStyle w:val="Compact"/>
        <w:numPr>
          <w:ilvl w:val="0"/>
          <w:numId w:val="1003"/>
        </w:numPr>
      </w:pPr>
      <w:r>
        <w:t xml:space="preserve">Glyceryl palmitostearate + stearic acid (any ratio 1:9 to 9:1)</w:t>
      </w:r>
    </w:p>
    <w:p>
      <w:pPr>
        <w:pStyle w:val="Compact"/>
        <w:numPr>
          <w:ilvl w:val="0"/>
          <w:numId w:val="1003"/>
        </w:numPr>
      </w:pPr>
      <w:r>
        <w:t xml:space="preserve">Glyceryl palmitostearate + cetyl alcohol (any ratio 1:9 to 9:1)</w:t>
      </w:r>
    </w:p>
    <w:p>
      <w:pPr>
        <w:pStyle w:val="Compact"/>
        <w:numPr>
          <w:ilvl w:val="0"/>
          <w:numId w:val="1003"/>
        </w:numPr>
      </w:pPr>
      <w:r>
        <w:t xml:space="preserve">Hydrogenated castor oil + carnauba wax (any ratio 1:9 to 9:1)</w:t>
      </w:r>
    </w:p>
    <w:p>
      <w:pPr>
        <w:pStyle w:val="Compact"/>
        <w:numPr>
          <w:ilvl w:val="0"/>
          <w:numId w:val="1003"/>
        </w:numPr>
      </w:pPr>
      <w:r>
        <w:t xml:space="preserve">Hydrogenated vegetable oil + stearyl alcohol (any ratio 1:9 to 9:1)</w:t>
      </w:r>
    </w:p>
    <w:p>
      <w:pPr>
        <w:pStyle w:val="Compact"/>
        <w:numPr>
          <w:ilvl w:val="0"/>
          <w:numId w:val="1003"/>
        </w:numPr>
      </w:pPr>
      <w:r>
        <w:t xml:space="preserve">Stearic acid + cetyl alcohol + Gelucire 50/13 (any ratio summing to 100%)</w:t>
      </w:r>
    </w:p>
    <w:p>
      <w:pPr>
        <w:pStyle w:val="Compact"/>
        <w:numPr>
          <w:ilvl w:val="0"/>
          <w:numId w:val="1003"/>
        </w:numPr>
      </w:pPr>
      <w:r>
        <w:t xml:space="preserve">Glyceryl behenate + glyceryl palmitostearate + carnauba wax (any ratio summing to 100%)</w:t>
      </w:r>
    </w:p>
    <w:p>
      <w:pPr>
        <w:pStyle w:val="Compact"/>
        <w:numPr>
          <w:ilvl w:val="0"/>
          <w:numId w:val="1003"/>
        </w:numPr>
      </w:pPr>
      <w:r>
        <w:t xml:space="preserve">Glyceryl behenate + glyceryl palmitostearate + hydrogenated castor oil (any ratio summing to 100%)</w:t>
      </w:r>
    </w:p>
    <w:p>
      <w:pPr>
        <w:pStyle w:val="Compact"/>
        <w:numPr>
          <w:ilvl w:val="0"/>
          <w:numId w:val="1003"/>
        </w:numPr>
      </w:pPr>
      <w:r>
        <w:t xml:space="preserve">Glyceryl behenate + glyceryl palmitostearate + Gelucire 50/13 (any ratio summing to 100%)</w:t>
      </w:r>
    </w:p>
    <w:p>
      <w:pPr>
        <w:pStyle w:val="Compact"/>
        <w:numPr>
          <w:ilvl w:val="0"/>
          <w:numId w:val="1003"/>
        </w:numPr>
      </w:pPr>
      <w:r>
        <w:t xml:space="preserve">Hydrogenated castor oil + beeswax + stearic acid (any ratio summing to 100%)</w:t>
      </w:r>
    </w:p>
    <w:p>
      <w:pPr>
        <w:pStyle w:val="Compact"/>
        <w:numPr>
          <w:ilvl w:val="0"/>
          <w:numId w:val="1003"/>
        </w:numPr>
      </w:pPr>
      <w:r>
        <w:t xml:space="preserve">Cetyl palmitate + glyceryl monostearate + carnauba wax (any ratio summing to 100%)</w:t>
      </w:r>
    </w:p>
    <w:p>
      <w:r>
        <w:pict>
          <v:rect style="width:0;height:1.5pt" o:hralign="center" o:hrstd="t" o:hr="t"/>
        </w:pict>
      </w:r>
    </w:p>
    <w:bookmarkEnd w:id="29"/>
    <w:bookmarkEnd w:id="30"/>
    <w:bookmarkStart w:id="39" w:name="release-modifying-excipient-genus"/>
    <w:p>
      <w:pPr>
        <w:pStyle w:val="Heading2"/>
      </w:pPr>
      <w:r>
        <w:t xml:space="preserve">6. RELEASE-MODIFYING EXCIPIENT GENUS</w:t>
      </w:r>
    </w:p>
    <w:p>
      <w:pPr>
        <w:pStyle w:val="FirstParagraph"/>
      </w:pPr>
      <w:r>
        <w:t xml:space="preserve">Component (c) is selected from one or more of the following classes. Mixtures are expressly disclosed.</w:t>
      </w:r>
    </w:p>
    <w:bookmarkStart w:id="31" w:name="X8ce9baf4f658e3d5a32d679e47029cb5a6ad4ef"/>
    <w:p>
      <w:pPr>
        <w:pStyle w:val="Heading3"/>
      </w:pPr>
      <w:r>
        <w:t xml:space="preserve">6.1 Polyethylene glycols and polyethylene oxides</w:t>
      </w:r>
    </w:p>
    <w:p>
      <w:pPr>
        <w:pStyle w:val="FirstParagraph"/>
      </w:pPr>
      <w:r>
        <w:t xml:space="preserve">PEG 200; PEG 300; PEG 400; PEG 600; PEG 1000; PEG 1450; PEG 1500; PEG 2000; PEG 3000; PEG 3350; PEG 4000; PEG 6000; PEG 8000; PEG 10000; PEG 20000; PEG 35000; polyethylene oxide (PEO) of any molecular weight from 100,000 to 7,000,000 (e.g., Polyox WSR N-10, N-80, N-750, N-3000, 205, 1105, N-12K, N-60K, 301, Coagulant, 303, WSR-308); methoxy-PEGs; PEG-PPG copolymers.</w:t>
      </w:r>
    </w:p>
    <w:bookmarkEnd w:id="31"/>
    <w:bookmarkStart w:id="32" w:name="poloxamers-pluronics"/>
    <w:p>
      <w:pPr>
        <w:pStyle w:val="Heading3"/>
      </w:pPr>
      <w:r>
        <w:t xml:space="preserve">6.2 Poloxamers / pluronics</w:t>
      </w:r>
    </w:p>
    <w:p>
      <w:pPr>
        <w:pStyle w:val="FirstParagraph"/>
      </w:pPr>
      <w:r>
        <w:t xml:space="preserve">Poloxamer 124 (Pluronic L44); Poloxamer 188 (Pluronic F68); Poloxamer 237 (Pluronic F87); Poloxamer 338 (Pluronic F108); Poloxamer 407 (Pluronic F127); any commercial poloxamer of HLB 1–30.</w:t>
      </w:r>
    </w:p>
    <w:bookmarkEnd w:id="32"/>
    <w:bookmarkStart w:id="33" w:name="X39db78a1e097df657d64d27f96f388ded28679e"/>
    <w:p>
      <w:pPr>
        <w:pStyle w:val="Heading3"/>
      </w:pPr>
      <w:r>
        <w:t xml:space="preserve">6.3 Hydrophilic polymers (cellulosic and synthetic)</w:t>
      </w:r>
    </w:p>
    <w:p>
      <w:pPr>
        <w:pStyle w:val="FirstParagraph"/>
      </w:pPr>
      <w:r>
        <w:t xml:space="preserve">Hydroxypropyl methylcellulose (HPMC) of any viscosity grade (E3, E5, E15, E50, K100LV, K4M, K15M, K100M, etc.) — disclosed only as a release modifier</w:t>
      </w:r>
      <w:r>
        <w:t xml:space="preserve"> </w:t>
      </w:r>
      <w:r>
        <w:rPr>
          <w:i/>
          <w:iCs/>
        </w:rPr>
        <w:t xml:space="preserve">within</w:t>
      </w:r>
      <w:r>
        <w:t xml:space="preserve"> </w:t>
      </w:r>
      <w:r>
        <w:t xml:space="preserve">a lipid-dominant matrix, not as a primary matrix former; hydroxypropyl cellulose (HPC); hydroxyethyl cellulose (HEC); methylcellulose (MC); ethylcellulose (when used as minor component); sodium carboxymethyl cellulose; microcrystalline cellulose (release-modifier role); polyvinyl pyrrolidone (PVP K-12, K-17, K-25, K-30, K-60, K-90); copovidone (PVP/VA); polyvinyl alcohol (PVA); polyacrylic acid (Carbomer 934, 940, 971, 974); sodium alginate; calcium alginate; xanthan gum; guar gum; locust bean gum; gellan gum; karaya gum; tragacanth; pectin; chitosan; carrageenan; agar; pullulan.</w:t>
      </w:r>
    </w:p>
    <w:bookmarkEnd w:id="33"/>
    <w:bookmarkStart w:id="34" w:name="sugar-alcohols"/>
    <w:p>
      <w:pPr>
        <w:pStyle w:val="Heading3"/>
      </w:pPr>
      <w:r>
        <w:t xml:space="preserve">6.4 Sugar alcohols</w:t>
      </w:r>
    </w:p>
    <w:p>
      <w:pPr>
        <w:pStyle w:val="FirstParagraph"/>
      </w:pPr>
      <w:r>
        <w:t xml:space="preserve">Mannitol (all grades, including Pearlitol 50C, 100SD, 160C, 200SD, 300DC, 400DC, SD200); sorbitol (all grades); xylitol; maltitol; lactitol; isomalt; erythritol; threitol; ribitol; inositol; arabitol.</w:t>
      </w:r>
    </w:p>
    <w:bookmarkEnd w:id="34"/>
    <w:bookmarkStart w:id="35" w:name="sugars-and-related-carbohydrates"/>
    <w:p>
      <w:pPr>
        <w:pStyle w:val="Heading3"/>
      </w:pPr>
      <w:r>
        <w:t xml:space="preserve">6.5 Sugars and related carbohydrates</w:t>
      </w:r>
    </w:p>
    <w:p>
      <w:pPr>
        <w:pStyle w:val="FirstParagraph"/>
      </w:pPr>
      <w:r>
        <w:t xml:space="preserve">Lactose monohydrate; lactose anhydrous; spray-dried lactose; α-lactose; β-lactose; sucrose; dextrose (anhydrous and monohydrate); fructose; maltose; trehalose; raffinose; cellobiose; isomaltulose; pre-gelatinized starch; native starch (corn, potato, rice, wheat, tapioca); maltodextrin; cyclodextrins (α-, β-, γ-, hydroxypropyl-β-cyclodextrin, sulfobutylether-β-cyclodextrin).</w:t>
      </w:r>
    </w:p>
    <w:bookmarkEnd w:id="35"/>
    <w:bookmarkStart w:id="36" w:name="X60e4d6e80e5fffc005a85dddbc465ea9644be2e"/>
    <w:p>
      <w:pPr>
        <w:pStyle w:val="Heading3"/>
      </w:pPr>
      <w:r>
        <w:t xml:space="preserve">6.6 Inorganic and organic salts (osmogens / channel-formers)</w:t>
      </w:r>
    </w:p>
    <w:p>
      <w:pPr>
        <w:pStyle w:val="FirstParagraph"/>
      </w:pPr>
      <w:r>
        <w:t xml:space="preserve">Sodium chloride; potassium chloride; sodium citrate; potassium citrate; sodium acetate; sodium bicarbonate; sodium carbonate; sodium sulfate; magnesium sulfate; calcium carbonate; calcium phosphate (mono-, di-, tri-basic); magnesium oxide; magnesium carbonate; ammonium chloride; ammonium acetate; sodium phosphate; potassium phosphate; sodium succinate; sodium tartrate.</w:t>
      </w:r>
    </w:p>
    <w:bookmarkEnd w:id="36"/>
    <w:bookmarkStart w:id="37" w:name="effervescent-gas-generating-systems"/>
    <w:p>
      <w:pPr>
        <w:pStyle w:val="Heading3"/>
      </w:pPr>
      <w:r>
        <w:t xml:space="preserve">6.7 Effervescent / gas-generating systems</w:t>
      </w:r>
    </w:p>
    <w:p>
      <w:pPr>
        <w:pStyle w:val="FirstParagraph"/>
      </w:pPr>
      <w:r>
        <w:t xml:space="preserve">Citric acid + sodium bicarbonate; tartaric acid + sodium bicarbonate; fumaric acid + sodium bicarbonate; malic acid + sodium bicarbonate; ascorbic acid + sodium bicarbonate; any organic acid + carbonate or bicarbonate system at any molar ratio.</w:t>
      </w:r>
    </w:p>
    <w:bookmarkEnd w:id="37"/>
    <w:bookmarkStart w:id="38" w:name="X219e679a443d9eb820e7a4fc15a60a468f81d2c"/>
    <w:p>
      <w:pPr>
        <w:pStyle w:val="Heading3"/>
      </w:pPr>
      <w:r>
        <w:t xml:space="preserve">6.8 Disintegrants (when used in low % to provide channels)</w:t>
      </w:r>
    </w:p>
    <w:p>
      <w:pPr>
        <w:pStyle w:val="FirstParagraph"/>
      </w:pPr>
      <w:r>
        <w:t xml:space="preserve">Crospovidone; croscarmellose sodium; sodium starch glycolate; pregelatinized starch; low-substituted hydroxypropyl cellulose (L-HPC).</w:t>
      </w:r>
    </w:p>
    <w:p>
      <w:r>
        <w:pict>
          <v:rect style="width:0;height:1.5pt" o:hralign="center" o:hrstd="t" o:hr="t"/>
        </w:pict>
      </w:r>
    </w:p>
    <w:bookmarkEnd w:id="38"/>
    <w:bookmarkEnd w:id="39"/>
    <w:bookmarkStart w:id="44" w:name="surfactant-wetting-agent-genus"/>
    <w:p>
      <w:pPr>
        <w:pStyle w:val="Heading2"/>
      </w:pPr>
      <w:r>
        <w:t xml:space="preserve">7. SURFACTANT / WETTING AGENT GENUS</w:t>
      </w:r>
    </w:p>
    <w:bookmarkStart w:id="40" w:name="non-ionic-surfactants"/>
    <w:p>
      <w:pPr>
        <w:pStyle w:val="Heading3"/>
      </w:pPr>
      <w:r>
        <w:t xml:space="preserve">7.1 Non-ionic surfactants</w:t>
      </w:r>
    </w:p>
    <w:p>
      <w:pPr>
        <w:pStyle w:val="FirstParagraph"/>
      </w:pPr>
      <w:r>
        <w:t xml:space="preserve">Polysorbate 20, 40, 60, 80, 85 (Tween series); sorbitan esters (Span series, see §5.9); polyoxyl 35 castor oil (Cremophor EL, Kolliphor EL); polyoxyl 40 hydrogenated castor oil (Cremophor RH40, Kolliphor RH40); polyoxyl 60 hydrogenated castor oil (Cremophor RH60); polyoxyl 15 hydroxystearate (Solutol HS 15, Kolliphor HS 15); D-α-tocopheryl polyethylene glycol 1000 succinate (vitamin E TPGS, all PEG chain lengths 400–6000); polyoxyl stearates (40, 50, 100); polyoxyethylene alkyl ethers (Brij series); poloxamers (per §6.2); Labrasol; Labrafac; Labrafil; Solutol; Cremophor; Capryol 90; Capmul MCM; Lauroglycol 90.</w:t>
      </w:r>
    </w:p>
    <w:bookmarkEnd w:id="40"/>
    <w:bookmarkStart w:id="41" w:name="anionic-surfactants"/>
    <w:p>
      <w:pPr>
        <w:pStyle w:val="Heading3"/>
      </w:pPr>
      <w:r>
        <w:t xml:space="preserve">7.2 Anionic surfactants</w:t>
      </w:r>
    </w:p>
    <w:p>
      <w:pPr>
        <w:pStyle w:val="FirstParagraph"/>
      </w:pPr>
      <w:r>
        <w:t xml:space="preserve">Sodium lauryl sulfate (sodium dodecyl sulfate); sodium docusate (dioctyl sulfosuccinate); sodium stearate; sodium oleate; sodium cetyl sulfate; sodium myristyl sulfate; sodium cholate; sodium deoxycholate; sodium taurocholate; sodium glycocholate; sodium taurodeoxycholate; bile salts generally.</w:t>
      </w:r>
    </w:p>
    <w:bookmarkEnd w:id="41"/>
    <w:bookmarkStart w:id="42" w:name="cationic-and-zwitterionic-surfactants"/>
    <w:p>
      <w:pPr>
        <w:pStyle w:val="Heading3"/>
      </w:pPr>
      <w:r>
        <w:t xml:space="preserve">7.3 Cationic and zwitterionic surfactants</w:t>
      </w:r>
    </w:p>
    <w:p>
      <w:pPr>
        <w:pStyle w:val="FirstParagraph"/>
      </w:pPr>
      <w:r>
        <w:t xml:space="preserve">Cetylpyridinium chloride; benzalkonium chloride; cetrimide; dodecyltrimethylammonium bromide; phosphatidylcholines (zwitterionic); CHAPS; sulfobetaines.</w:t>
      </w:r>
    </w:p>
    <w:bookmarkEnd w:id="42"/>
    <w:bookmarkStart w:id="43" w:name="phospholipid-surfactants"/>
    <w:p>
      <w:pPr>
        <w:pStyle w:val="Heading3"/>
      </w:pPr>
      <w:r>
        <w:t xml:space="preserve">7.4 Phospholipid surfactants</w:t>
      </w:r>
    </w:p>
    <w:p>
      <w:pPr>
        <w:pStyle w:val="FirstParagraph"/>
      </w:pPr>
      <w:r>
        <w:t xml:space="preserve">Lecithin (soy, egg, sunflower); hydrogenated lecithins; phosphatidylcholine; phosphatidylglycerol; phosphatidylethanolamine; lysophospholipids.</w:t>
      </w:r>
    </w:p>
    <w:p>
      <w:r>
        <w:pict>
          <v:rect style="width:0;height:1.5pt" o:hralign="center" o:hrstd="t" o:hr="t"/>
        </w:pict>
      </w:r>
    </w:p>
    <w:bookmarkEnd w:id="43"/>
    <w:bookmarkEnd w:id="44"/>
    <w:bookmarkStart w:id="45" w:name="filler-diluent-genus"/>
    <w:p>
      <w:pPr>
        <w:pStyle w:val="Heading2"/>
      </w:pPr>
      <w:r>
        <w:t xml:space="preserve">8. FILLER / DILUENT GENUS</w:t>
      </w:r>
    </w:p>
    <w:p>
      <w:pPr>
        <w:pStyle w:val="FirstParagraph"/>
      </w:pPr>
      <w:r>
        <w:t xml:space="preserve">Microcrystalline cellulose (all grades: PH-101, PH-102, PH-105, PH-112, PH-113, PH-200, PH-301, PH-302, silicified MCC); lactose (all grades and forms); mannitol (all grades, see §6.4); sorbitol; calcium phosphate dibasic (Emcompress, A-Tab, Di-Tab, anhydrous and dihydrate); calcium phosphate tribasic; calcium sulfate; calcium carbonate; magnesium carbonate; pre-gelatinized starch (Starch 1500, Lycatab); native starches; maltodextrin; dextrates (Emdex); compressible sucrose; isomalt; co-processed excipients (Prosolv, Cellactose, Ludipress, MicroceLac, StarLac, RetaLac, Avicel HFE, Pharmaburst).</w:t>
      </w:r>
    </w:p>
    <w:p>
      <w:r>
        <w:pict>
          <v:rect style="width:0;height:1.5pt" o:hralign="center" o:hrstd="t" o:hr="t"/>
        </w:pict>
      </w:r>
    </w:p>
    <w:bookmarkEnd w:id="45"/>
    <w:bookmarkStart w:id="46" w:name="lubricant-glidant-anti-adherent-genus"/>
    <w:p>
      <w:pPr>
        <w:pStyle w:val="Heading2"/>
      </w:pPr>
      <w:r>
        <w:t xml:space="preserve">9. LUBRICANT / GLIDANT / ANTI-ADHERENT GENUS</w:t>
      </w:r>
    </w:p>
    <w:p>
      <w:pPr>
        <w:pStyle w:val="FirstParagraph"/>
      </w:pPr>
      <w:r>
        <w:t xml:space="preserve">Magnesium stearate (vegetable and bovine); calcium stearate; zinc stearate; sodium stearyl fumarate (Pruv); glyceryl behenate (dual-purpose lubricant/matrix-former); glyceryl monostearate (dual-purpose); glyceryl dibehenate (Compritol HD5); stearic acid; palmitic acid; sodium benzoate; talc; colloidal silicon dioxide (Aerosil 200, Cab-O-Sil M5P); fumed silica; magnesium silicate; calcium silicate; hydrogenated vegetable oil (lubricant role); polyethylene glycols (lubricant role); leucine; sodium lauryl sulfate (boundary lubricant role); PRUV; SyloidFP; magnesium trisilicate.</w:t>
      </w:r>
    </w:p>
    <w:p>
      <w:r>
        <w:pict>
          <v:rect style="width:0;height:1.5pt" o:hralign="center" o:hrstd="t" o:hr="t"/>
        </w:pict>
      </w:r>
    </w:p>
    <w:bookmarkEnd w:id="46"/>
    <w:bookmarkStart w:id="58" w:name="active-pharmaceutical-ingredient-genus"/>
    <w:p>
      <w:pPr>
        <w:pStyle w:val="Heading2"/>
      </w:pPr>
      <w:r>
        <w:t xml:space="preserve">10. ACTIVE PHARMACEUTICAL INGREDIENT GENUS</w:t>
      </w:r>
    </w:p>
    <w:p>
      <w:pPr>
        <w:pStyle w:val="FirstParagraph"/>
      </w:pPr>
      <w:r>
        <w:t xml:space="preserve">The disclosed lipid-matrix architecture is suitable for any small-molecule API of molecular weight ≤ 1200 Da, particularly APIs of BCS Class II, Class IV, or any API for which extended release, reduced Cmax, sustained therapeutic plasma concentrations, reduced food effect, improved tolerability, reduced dosing frequency, taste-masking, or improved adherence is therapeutically beneficial.</w:t>
      </w:r>
    </w:p>
    <w:bookmarkStart w:id="47" w:name="X9e43d1e9d382161b9630547517f5a29e2f02577"/>
    <w:p>
      <w:pPr>
        <w:pStyle w:val="Heading3"/>
      </w:pPr>
      <w:r>
        <w:t xml:space="preserve">10.1 Hair loss and dermatological APIs (primary preferred genus)</w:t>
      </w:r>
    </w:p>
    <w:p>
      <w:pPr>
        <w:pStyle w:val="FirstParagraph"/>
      </w:pPr>
      <w:r>
        <w:t xml:space="preserve">Minoxidil (free base and any pharmaceutically acceptable salt, including sulfate, hydrochloride, citrate, fumarate, succinate, tartrate, mesylate, tosylate; minoxidil sulfate and any active metabolite or prodrug); finasteride; dutasteride; epristeride; alfatradiol; bicalutamide; flutamide; spironolactone; cyproterone acetate; clascoterone; RU58841 (PSK-3841); pyrilutamide (KX-826); CB-03-01; bimatoprost; latanoprost; travoprost; tafluprost; unoprostone; ketoconazole; piroctone olamine; zinc pyrithione; selenium sulfide; ciclopirox; clobetasol propionate; betamethasone valerate; hydrocortisone; triamcinolone acetonide; tacrolimus; pimecrolimus; methotrexate; cyclosporine A; tofacitinib; ruxolitinib; baricitinib; ritlecitinib; abrocitinib; deuruxolitinib; upadacitinib; brepocitinib; ifidancitinib; SM04554 (Wnt activator); valproic acid and sodium valproate; cetirizine (off-label hair); melatonin (topical); caffeine; adenosine; latanoprost; setipiprant; topical prostaglandin analogs; PRP cofactors in solid form; statins (simvastatin, atorvastatin) for follicular use; rapamycin (sirolimus); everolimus; metformin; pioglitazone; quercetin; fisetin; resveratrol; curcumin; EGCG; ergothioneine.</w:t>
      </w:r>
    </w:p>
    <w:bookmarkEnd w:id="47"/>
    <w:bookmarkStart w:id="48" w:name="cardiovascular-apis"/>
    <w:p>
      <w:pPr>
        <w:pStyle w:val="Heading3"/>
      </w:pPr>
      <w:r>
        <w:t xml:space="preserve">10.2 Cardiovascular APIs</w:t>
      </w:r>
    </w:p>
    <w:p>
      <w:pPr>
        <w:pStyle w:val="FirstParagraph"/>
      </w:pPr>
      <w:r>
        <w:t xml:space="preserve">Verapamil; diltiazem; nifedipine; nicardipine; amlodipine; felodipine; isosorbide mononitrate; isosorbide dinitrate; nicorandil; ranolazine; metoprolol; carvedilol; propranolol; atenolol; bisoprolol; nebivolol; lisinopril; enalapril; ramipril; losartan; valsartan; irbesartan; candesartan; telmisartan; olmesartan; furosemide; hydrochlorothiazide; spironolactone; eplerenone; clonidine; diazoxide.</w:t>
      </w:r>
    </w:p>
    <w:bookmarkEnd w:id="48"/>
    <w:bookmarkStart w:id="49" w:name="cns-apis"/>
    <w:p>
      <w:pPr>
        <w:pStyle w:val="Heading3"/>
      </w:pPr>
      <w:r>
        <w:t xml:space="preserve">10.3 CNS APIs</w:t>
      </w:r>
    </w:p>
    <w:p>
      <w:pPr>
        <w:pStyle w:val="FirstParagraph"/>
      </w:pPr>
      <w:r>
        <w:t xml:space="preserve">Carbamazepine; oxcarbazepine; valproic acid; lamotrigine; topiramate; gabapentin; pregabalin; levetiracetam; lacosamide; phenytoin; methylphenidate; dexmethylphenidate; amphetamine salts; lisdexamfetamine; atomoxetine; modafinil; armodafinil; bupropion; venlafaxine; duloxetine; desvenlafaxine; milnacipran; tramadol; tapentadol; buprenorphine; naltrexone; naloxone; quetiapine; risperidone; paliperidone; aripiprazole; brexpiprazole; cariprazine; lurasidone; olanzapine; ziprasidone; clozapine; lithium carbonate; donepezil; rivastigmine; galantamine; memantine; pramipexole; ropinirole; rotigotine; rasagiline; selegiline; safinamide.</w:t>
      </w:r>
    </w:p>
    <w:bookmarkEnd w:id="49"/>
    <w:bookmarkStart w:id="50" w:name="endocrine-and-metabolic-apis"/>
    <w:p>
      <w:pPr>
        <w:pStyle w:val="Heading3"/>
      </w:pPr>
      <w:r>
        <w:t xml:space="preserve">10.4 Endocrine and metabolic APIs</w:t>
      </w:r>
    </w:p>
    <w:p>
      <w:pPr>
        <w:pStyle w:val="FirstParagraph"/>
      </w:pPr>
      <w:r>
        <w:t xml:space="preserve">Metformin; glipizide; glyburide; glimepiride; pioglitazone; rosiglitazone; sitagliptin; saxagliptin; linagliptin; alogliptin; empagliflozin; dapagliflozin; canagliflozin; ertugliflozin; semaglutide (oral); liraglutide; tirzepatide; levothyroxine; liothyronine; methimazole; propylthiouracil; testosterone (oral lipid-matrix); progesterone (oral lipid-matrix); estradiol; raloxifene; tamoxifen; anastrozole; letrozole; exemestane; orlistat; phentermine; topiramate.</w:t>
      </w:r>
    </w:p>
    <w:bookmarkEnd w:id="50"/>
    <w:bookmarkStart w:id="51" w:name="anti-infective-apis"/>
    <w:p>
      <w:pPr>
        <w:pStyle w:val="Heading3"/>
      </w:pPr>
      <w:r>
        <w:t xml:space="preserve">10.5 Anti-infective APIs</w:t>
      </w:r>
    </w:p>
    <w:p>
      <w:pPr>
        <w:pStyle w:val="FirstParagraph"/>
      </w:pPr>
      <w:r>
        <w:t xml:space="preserve">Amoxicillin; ampicillin; cephalexin; cefuroxime; cefdinir; cefixime; azithromycin; clarithromycin; erythromycin; doxycycline; minocycline; tetracycline; metronidazole; tinidazole; clindamycin; trimethoprim; sulfamethoxazole; ciprofloxacin; levofloxacin; moxifloxacin; nitrofurantoin; rifampin; rifaximin; isoniazid; pyrazinamide; ethambutol; fluconazole; itraconazole; posaconazole; voriconazole; isavuconazole; terbinafine; griseofulvin; acyclovir; valacyclovir; famciclovir; oseltamivir; baloxavir; tenofovir; emtricitabine; lamivudine; efavirenz; rilpivirine; dolutegravir; bictegravir; elbasvir; grazoprevir; sofosbuvir; velpatasvir.</w:t>
      </w:r>
    </w:p>
    <w:bookmarkEnd w:id="51"/>
    <w:bookmarkStart w:id="52" w:name="Xa626627be6da20418b0bb670990354c6f298f79"/>
    <w:p>
      <w:pPr>
        <w:pStyle w:val="Heading3"/>
      </w:pPr>
      <w:r>
        <w:t xml:space="preserve">10.6 Pain, anti-inflammatory, and immunomodulator APIs</w:t>
      </w:r>
    </w:p>
    <w:p>
      <w:pPr>
        <w:pStyle w:val="FirstParagraph"/>
      </w:pPr>
      <w:r>
        <w:t xml:space="preserve">Ibuprofen; naproxen; diclofenac; ketoprofen; flurbiprofen; meloxicam; celecoxib; etoricoxib; piroxicam; indomethacin; sulindac; nabumetone; mefenamic acid; aspirin; acetaminophen; tramadol; tapentadol; codeine; hydrocodone; oxycodone; hydromorphone; oxymorphone; morphine; fentanyl (sublingual lipid-matrix); buprenorphine; methadone; gabapentin; pregabalin; duloxetine; cyclobenzaprine; baclofen; tizanidine; methocarbamol; carisoprodol; metaxalone; orphenadrine; colchicine; allopurinol; febuxostat; methotrexate; leflunomide; sulfasalazine; hydroxychloroquine; azathioprine; mycophenolate; cyclosporine; tacrolimus; sirolimus; everolimus.</w:t>
      </w:r>
    </w:p>
    <w:bookmarkEnd w:id="52"/>
    <w:bookmarkStart w:id="53" w:name="oncology-apis"/>
    <w:p>
      <w:pPr>
        <w:pStyle w:val="Heading3"/>
      </w:pPr>
      <w:r>
        <w:t xml:space="preserve">10.7 Oncology APIs</w:t>
      </w:r>
    </w:p>
    <w:p>
      <w:pPr>
        <w:pStyle w:val="FirstParagraph"/>
      </w:pPr>
      <w:r>
        <w:t xml:space="preserve">Capecitabine; temozolomide; lomustine; procarbazine; hydroxyurea; mercaptopurine; thioguanine; methotrexate; imatinib; dasatinib; nilotinib; bosutinib; ponatinib; gefitinib; erlotinib; afatinib; osimertinib; crizotinib; ceritinib; alectinib; brigatinib; lorlatinib; sunitinib; sorafenib; regorafenib; pazopanib; cabozantinib; lenvatinib; vandetanib; axitinib; everolimus; temsirolimus; ibrutinib; acalabrutinib; zanubrutinib; venetoclax; ruxolitinib; fedratinib; abemaciclib; palbociclib; ribociclib; olaparib; rucaparib; niraparib; talazoparib; vorinostat; romidepsin; panobinostat; belinostat; bicalutamide; enzalutamide; apalutamide; darolutamide; abiraterone.</w:t>
      </w:r>
    </w:p>
    <w:bookmarkEnd w:id="53"/>
    <w:bookmarkStart w:id="54" w:name="gastrointestinal-apis"/>
    <w:p>
      <w:pPr>
        <w:pStyle w:val="Heading3"/>
      </w:pPr>
      <w:r>
        <w:t xml:space="preserve">10.8 Gastrointestinal APIs</w:t>
      </w:r>
    </w:p>
    <w:p>
      <w:pPr>
        <w:pStyle w:val="FirstParagraph"/>
      </w:pPr>
      <w:r>
        <w:t xml:space="preserve">Omeprazole; esomeprazole; lansoprazole; dexlansoprazole; pantoprazole; rabeprazole; ranitidine (where available); famotidine; cimetidine; metoclopramide; domperidone; ondansetron; granisetron; palonosetron; aprepitant; rolapitant; mesalamine (5-ASA); sulfasalazine; budesonide (oral); loperamide; diphenoxylate; rifaximin; lubiprostone; linaclotide; plecanatide; tegaserod; prucalopride.</w:t>
      </w:r>
    </w:p>
    <w:bookmarkEnd w:id="54"/>
    <w:bookmarkStart w:id="55" w:name="cannabinoids-and-natural-products"/>
    <w:p>
      <w:pPr>
        <w:pStyle w:val="Heading3"/>
      </w:pPr>
      <w:r>
        <w:t xml:space="preserve">10.9 Cannabinoids and natural products</w:t>
      </w:r>
    </w:p>
    <w:p>
      <w:pPr>
        <w:pStyle w:val="FirstParagraph"/>
      </w:pPr>
      <w:r>
        <w:t xml:space="preserve">Cannabidiol (CBD); tetrahydrocannabinol (THC); cannabigerol (CBG); cannabinol (CBN); cannabichromene (CBC); dronabinol; nabilone; psilocybin; psilocin; ibogaine; mescaline; DMT; ayahuasca alkaloids; berberine; quercetin; resveratrol; curcumin; piperine; ginsenosides; silymarin; St. John’s wort extract; saw palmetto extract; pygeum extract; serenoa repens.</w:t>
      </w:r>
    </w:p>
    <w:bookmarkEnd w:id="55"/>
    <w:bookmarkStart w:id="56" w:name="X74031a39b16ec9f3be28fcf9df54463d0577fce"/>
    <w:p>
      <w:pPr>
        <w:pStyle w:val="Heading3"/>
      </w:pPr>
      <w:r>
        <w:t xml:space="preserve">10.10 Pediatric, geriatric, and special population APIs</w:t>
      </w:r>
    </w:p>
    <w:p>
      <w:pPr>
        <w:pStyle w:val="FirstParagraph"/>
      </w:pPr>
      <w:r>
        <w:t xml:space="preserve">Any API listed in §§10.1–10.9 in a dose adjusted for pediatric (1 month–18 years), geriatric (≥65 years), pregnant or lactating, hepatic-impaired, renal-impaired, or genetically defined (e.g., CYP2D6 poor metabolizer) populations.</w:t>
      </w:r>
    </w:p>
    <w:bookmarkEnd w:id="56"/>
    <w:bookmarkStart w:id="57" w:name="Xe1a2e2f1ab2008e9c83e33b67ff74b55aa858e4"/>
    <w:p>
      <w:pPr>
        <w:pStyle w:val="Heading3"/>
      </w:pPr>
      <w:r>
        <w:t xml:space="preserve">10.11 API combinations (multi-active embodiments)</w:t>
      </w:r>
    </w:p>
    <w:p>
      <w:pPr>
        <w:pStyle w:val="FirstParagraph"/>
      </w:pPr>
      <w:r>
        <w:t xml:space="preserve">Any binary, ternary, quaternary, or higher-order combination of two or more APIs from §§10.1–10.10 in a single lipid matrix dosage form is expressly disclosed. Specific preferred combinations include, without limitation:</w:t>
      </w:r>
    </w:p>
    <w:p>
      <w:pPr>
        <w:pStyle w:val="Compact"/>
        <w:numPr>
          <w:ilvl w:val="0"/>
          <w:numId w:val="1004"/>
        </w:numPr>
      </w:pPr>
      <w:r>
        <w:t xml:space="preserve">Minoxidil + finasteride</w:t>
      </w:r>
    </w:p>
    <w:p>
      <w:pPr>
        <w:pStyle w:val="Compact"/>
        <w:numPr>
          <w:ilvl w:val="0"/>
          <w:numId w:val="1004"/>
        </w:numPr>
      </w:pPr>
      <w:r>
        <w:t xml:space="preserve">Minoxidil + dutasteride</w:t>
      </w:r>
    </w:p>
    <w:p>
      <w:pPr>
        <w:pStyle w:val="Compact"/>
        <w:numPr>
          <w:ilvl w:val="0"/>
          <w:numId w:val="1004"/>
        </w:numPr>
      </w:pPr>
      <w:r>
        <w:t xml:space="preserve">Minoxidil + spironolactone</w:t>
      </w:r>
    </w:p>
    <w:p>
      <w:pPr>
        <w:pStyle w:val="Compact"/>
        <w:numPr>
          <w:ilvl w:val="0"/>
          <w:numId w:val="1004"/>
        </w:numPr>
      </w:pPr>
      <w:r>
        <w:t xml:space="preserve">Minoxidil + bicalutamide</w:t>
      </w:r>
    </w:p>
    <w:p>
      <w:pPr>
        <w:pStyle w:val="Compact"/>
        <w:numPr>
          <w:ilvl w:val="0"/>
          <w:numId w:val="1004"/>
        </w:numPr>
      </w:pPr>
      <w:r>
        <w:t xml:space="preserve">Minoxidil + bimatoprost</w:t>
      </w:r>
    </w:p>
    <w:p>
      <w:pPr>
        <w:pStyle w:val="Compact"/>
        <w:numPr>
          <w:ilvl w:val="0"/>
          <w:numId w:val="1004"/>
        </w:numPr>
      </w:pPr>
      <w:r>
        <w:t xml:space="preserve">Minoxidil + latanoprost</w:t>
      </w:r>
    </w:p>
    <w:p>
      <w:pPr>
        <w:pStyle w:val="Compact"/>
        <w:numPr>
          <w:ilvl w:val="0"/>
          <w:numId w:val="1004"/>
        </w:numPr>
      </w:pPr>
      <w:r>
        <w:t xml:space="preserve">Minoxidil + ketoconazole</w:t>
      </w:r>
    </w:p>
    <w:p>
      <w:pPr>
        <w:pStyle w:val="Compact"/>
        <w:numPr>
          <w:ilvl w:val="0"/>
          <w:numId w:val="1004"/>
        </w:numPr>
      </w:pPr>
      <w:r>
        <w:t xml:space="preserve">Minoxidil + caffeine</w:t>
      </w:r>
    </w:p>
    <w:p>
      <w:pPr>
        <w:pStyle w:val="Compact"/>
        <w:numPr>
          <w:ilvl w:val="0"/>
          <w:numId w:val="1004"/>
        </w:numPr>
      </w:pPr>
      <w:r>
        <w:t xml:space="preserve">Minoxidil + adenosine</w:t>
      </w:r>
    </w:p>
    <w:p>
      <w:pPr>
        <w:pStyle w:val="Compact"/>
        <w:numPr>
          <w:ilvl w:val="0"/>
          <w:numId w:val="1004"/>
        </w:numPr>
      </w:pPr>
      <w:r>
        <w:t xml:space="preserve">Minoxidil + finasteride + dutasteride</w:t>
      </w:r>
    </w:p>
    <w:p>
      <w:pPr>
        <w:pStyle w:val="Compact"/>
        <w:numPr>
          <w:ilvl w:val="0"/>
          <w:numId w:val="1004"/>
        </w:numPr>
      </w:pPr>
      <w:r>
        <w:t xml:space="preserve">Minoxidil + finasteride + biotin</w:t>
      </w:r>
    </w:p>
    <w:p>
      <w:pPr>
        <w:pStyle w:val="Compact"/>
        <w:numPr>
          <w:ilvl w:val="0"/>
          <w:numId w:val="1004"/>
        </w:numPr>
      </w:pPr>
      <w:r>
        <w:t xml:space="preserve">Minoxidil + finasteride + spironolactone</w:t>
      </w:r>
    </w:p>
    <w:p>
      <w:pPr>
        <w:pStyle w:val="Compact"/>
        <w:numPr>
          <w:ilvl w:val="0"/>
          <w:numId w:val="1004"/>
        </w:numPr>
      </w:pPr>
      <w:r>
        <w:t xml:space="preserve">Minoxidil + dutasteride + tofacitinib</w:t>
      </w:r>
    </w:p>
    <w:p>
      <w:pPr>
        <w:pStyle w:val="Compact"/>
        <w:numPr>
          <w:ilvl w:val="0"/>
          <w:numId w:val="1004"/>
        </w:numPr>
      </w:pPr>
      <w:r>
        <w:t xml:space="preserve">Minoxidil + ritlecitinib</w:t>
      </w:r>
    </w:p>
    <w:p>
      <w:pPr>
        <w:pStyle w:val="Compact"/>
        <w:numPr>
          <w:ilvl w:val="0"/>
          <w:numId w:val="1004"/>
        </w:numPr>
      </w:pPr>
      <w:r>
        <w:t xml:space="preserve">Minoxidil + ruxolitinib</w:t>
      </w:r>
    </w:p>
    <w:p>
      <w:pPr>
        <w:pStyle w:val="Compact"/>
        <w:numPr>
          <w:ilvl w:val="0"/>
          <w:numId w:val="1004"/>
        </w:numPr>
      </w:pPr>
      <w:r>
        <w:t xml:space="preserve">Minoxidil + baricitinib</w:t>
      </w:r>
    </w:p>
    <w:p>
      <w:pPr>
        <w:pStyle w:val="Compact"/>
        <w:numPr>
          <w:ilvl w:val="0"/>
          <w:numId w:val="1004"/>
        </w:numPr>
      </w:pPr>
      <w:r>
        <w:t xml:space="preserve">Minoxidil + clascoterone</w:t>
      </w:r>
    </w:p>
    <w:p>
      <w:pPr>
        <w:pStyle w:val="Compact"/>
        <w:numPr>
          <w:ilvl w:val="0"/>
          <w:numId w:val="1004"/>
        </w:numPr>
      </w:pPr>
      <w:r>
        <w:t xml:space="preserve">Minoxidil + RU58841</w:t>
      </w:r>
    </w:p>
    <w:p>
      <w:pPr>
        <w:pStyle w:val="Compact"/>
        <w:numPr>
          <w:ilvl w:val="0"/>
          <w:numId w:val="1004"/>
        </w:numPr>
      </w:pPr>
      <w:r>
        <w:t xml:space="preserve">Minoxidil + pyrilutamide</w:t>
      </w:r>
    </w:p>
    <w:p>
      <w:pPr>
        <w:pStyle w:val="Compact"/>
        <w:numPr>
          <w:ilvl w:val="0"/>
          <w:numId w:val="1004"/>
        </w:numPr>
      </w:pPr>
      <w:r>
        <w:t xml:space="preserve">Finasteride + dutasteride</w:t>
      </w:r>
    </w:p>
    <w:p>
      <w:pPr>
        <w:pStyle w:val="Compact"/>
        <w:numPr>
          <w:ilvl w:val="0"/>
          <w:numId w:val="1004"/>
        </w:numPr>
      </w:pPr>
      <w:r>
        <w:t xml:space="preserve">Finasteride + tadalafil</w:t>
      </w:r>
    </w:p>
    <w:p>
      <w:pPr>
        <w:pStyle w:val="Compact"/>
        <w:numPr>
          <w:ilvl w:val="0"/>
          <w:numId w:val="1004"/>
        </w:numPr>
      </w:pPr>
      <w:r>
        <w:t xml:space="preserve">Spironolactone + finasteride (for female patients)</w:t>
      </w:r>
    </w:p>
    <w:p>
      <w:pPr>
        <w:pStyle w:val="Compact"/>
        <w:numPr>
          <w:ilvl w:val="0"/>
          <w:numId w:val="1004"/>
        </w:numPr>
      </w:pPr>
      <w:r>
        <w:t xml:space="preserve">Any of the above combinations further including a 5α-reductase inhibitor, an androgen receptor antagonist, a JAK inhibitor, a Wnt activator, a prostaglandin analog, an anti-inflammatory, or a vitamin/mineral cofactor (biotin, zinc, iron, vitamin D, vitamin B12).</w:t>
      </w:r>
    </w:p>
    <w:p>
      <w:pPr>
        <w:pStyle w:val="FirstParagraph"/>
      </w:pPr>
      <w:r>
        <w:t xml:space="preserve">In a multi-active embodiment, each active may be released from the same lipid matrix phase, from separate lipid matrix phases (e.g., bilayer, multilayer), from a lipid matrix phase combined with an immediate-release phase, or from a lipid matrix core surrounded by an immediate-release coating containing a second active.</w:t>
      </w:r>
    </w:p>
    <w:p>
      <w:r>
        <w:pict>
          <v:rect style="width:0;height:1.5pt" o:hralign="center" o:hrstd="t" o:hr="t"/>
        </w:pict>
      </w:r>
    </w:p>
    <w:bookmarkEnd w:id="57"/>
    <w:bookmarkEnd w:id="58"/>
    <w:bookmarkStart w:id="63" w:name="additional-excipient-genus"/>
    <w:p>
      <w:pPr>
        <w:pStyle w:val="Heading2"/>
      </w:pPr>
      <w:r>
        <w:t xml:space="preserve">11. ADDITIONAL EXCIPIENT GENUS</w:t>
      </w:r>
    </w:p>
    <w:bookmarkStart w:id="59" w:name="plasticizers"/>
    <w:p>
      <w:pPr>
        <w:pStyle w:val="Heading3"/>
      </w:pPr>
      <w:r>
        <w:t xml:space="preserve">11.1 Plasticizers</w:t>
      </w:r>
    </w:p>
    <w:p>
      <w:pPr>
        <w:pStyle w:val="FirstParagraph"/>
      </w:pPr>
      <w:r>
        <w:t xml:space="preserve">Triethyl citrate; tributyl citrate; acetyl triethyl citrate; acetyl tributyl citrate; dibutyl sebacate; diethyl phthalate (where regulatorily permissible); dibutyl phthalate; glycerol; propylene glycol; PEGs (per §6.1); castor oil; hydrogenated castor oil (low %); medium-chain triglycerides; oleic acid; isopropyl myristate; isopropyl palmitate.</w:t>
      </w:r>
    </w:p>
    <w:bookmarkEnd w:id="59"/>
    <w:bookmarkStart w:id="60" w:name="antioxidants-and-stabilizers"/>
    <w:p>
      <w:pPr>
        <w:pStyle w:val="Heading3"/>
      </w:pPr>
      <w:r>
        <w:t xml:space="preserve">11.2 Antioxidants and stabilizers</w:t>
      </w:r>
    </w:p>
    <w:p>
      <w:pPr>
        <w:pStyle w:val="FirstParagraph"/>
      </w:pPr>
      <w:r>
        <w:t xml:space="preserve">α-tocopherol (vitamin E); tocopheryl acetate; β-carotene; ascorbic acid; sodium ascorbate; ascorbyl palmitate; butylated hydroxyanisole (BHA); butylated hydroxytoluene (BHT); propyl gallate; octyl gallate; dodecyl gallate; ethylenediaminetetraacetic acid (EDTA) and salts; citric acid; sodium citrate; sodium metabisulfite; sodium sulfite; methionine; cysteine; glutathione; lecithin (antioxidant role); rosemary extract; mixed tocopherols.</w:t>
      </w:r>
    </w:p>
    <w:bookmarkEnd w:id="60"/>
    <w:bookmarkStart w:id="61" w:name="X49dbef51502fa7782d0ad07cccf2f13a1b22fb1"/>
    <w:p>
      <w:pPr>
        <w:pStyle w:val="Heading3"/>
      </w:pPr>
      <w:r>
        <w:t xml:space="preserve">11.3 Colorants, flavorants, sweeteners, taste-maskers</w:t>
      </w:r>
    </w:p>
    <w:p>
      <w:pPr>
        <w:pStyle w:val="FirstParagraph"/>
      </w:pPr>
      <w:r>
        <w:t xml:space="preserve">Iron oxides (red, yellow, black); titanium dioxide; FD&amp;C and D&amp;C dyes and lakes; carmine; chlorophyll; turmeric; beet juice powder; spray-dried fruit powders; aspartame; sucralose; saccharin; acesulfame K; stevia; monk fruit; xylitol; mannitol (sweetener role); natural and artificial flavors; menthol; eucalyptol; vanillin; ethylvanillin; cyclodextrin complexes for taste masking.</w:t>
      </w:r>
    </w:p>
    <w:bookmarkEnd w:id="61"/>
    <w:bookmarkStart w:id="62" w:name="preservatives-where-applicable"/>
    <w:p>
      <w:pPr>
        <w:pStyle w:val="Heading3"/>
      </w:pPr>
      <w:r>
        <w:t xml:space="preserve">11.4 Preservatives (where applicable)</w:t>
      </w:r>
    </w:p>
    <w:p>
      <w:pPr>
        <w:pStyle w:val="FirstParagraph"/>
      </w:pPr>
      <w:r>
        <w:t xml:space="preserve">Methylparaben; propylparaben; butylparaben; benzoic acid; sodium benzoate; sorbic acid; potassium sorbate; phenoxyethanol; benzyl alcohol; chlorocresol.</w:t>
      </w:r>
    </w:p>
    <w:p>
      <w:r>
        <w:pict>
          <v:rect style="width:0;height:1.5pt" o:hralign="center" o:hrstd="t" o:hr="t"/>
        </w:pict>
      </w:r>
    </w:p>
    <w:bookmarkEnd w:id="62"/>
    <w:bookmarkEnd w:id="63"/>
    <w:bookmarkStart w:id="80" w:name="process-genus"/>
    <w:p>
      <w:pPr>
        <w:pStyle w:val="Heading2"/>
      </w:pPr>
      <w:r>
        <w:t xml:space="preserve">12. PROCESS GENUS</w:t>
      </w:r>
    </w:p>
    <w:p>
      <w:pPr>
        <w:pStyle w:val="FirstParagraph"/>
      </w:pPr>
      <w:r>
        <w:t xml:space="preserve">The disclosed compositions may be manufactured by any one of the following processes, or any combination or sequence thereof. All process parameter ranges include endpoints. Equivalent commercial equipment from any vendor is expressly disclosed.</w:t>
      </w:r>
    </w:p>
    <w:bookmarkStart w:id="64" w:name="melt-granulation-preferred"/>
    <w:p>
      <w:pPr>
        <w:pStyle w:val="Heading3"/>
      </w:pPr>
      <w:r>
        <w:t xml:space="preserve">12.1 Melt granulation (preferred)</w:t>
      </w:r>
    </w:p>
    <w:p>
      <w:pPr>
        <w:pStyle w:val="FirstParagraph"/>
      </w:pPr>
      <w:r>
        <w:t xml:space="preserve">Heat one or more lipid matrix formers (per §5) to a temperature between 5 °C above the lowest melting point and 30 °C above the highest melting point of the lipid components, but in any case between</w:t>
      </w:r>
      <w:r>
        <w:t xml:space="preserve"> </w:t>
      </w:r>
      <w:r>
        <w:rPr>
          <w:b/>
          <w:bCs/>
        </w:rPr>
        <w:t xml:space="preserve">35 °C and 200 °C</w:t>
      </w:r>
      <w:r>
        <w:t xml:space="preserve">, preferably between</w:t>
      </w:r>
      <w:r>
        <w:t xml:space="preserve"> </w:t>
      </w:r>
      <w:r>
        <w:rPr>
          <w:b/>
          <w:bCs/>
        </w:rPr>
        <w:t xml:space="preserve">50 °C and 120 °C</w:t>
      </w:r>
      <w:r>
        <w:t xml:space="preserve">, most preferably between</w:t>
      </w:r>
      <w:r>
        <w:t xml:space="preserve"> </w:t>
      </w:r>
      <w:r>
        <w:rPr>
          <w:b/>
          <w:bCs/>
        </w:rPr>
        <w:t xml:space="preserve">65 °C and 95 °C</w:t>
      </w:r>
      <w:r>
        <w:t xml:space="preserve">. Mix at any agitation rate from</w:t>
      </w:r>
      <w:r>
        <w:t xml:space="preserve"> </w:t>
      </w:r>
      <w:r>
        <w:rPr>
          <w:b/>
          <w:bCs/>
        </w:rPr>
        <w:t xml:space="preserve">5 to 1000 rpm</w:t>
      </w:r>
      <w:r>
        <w:t xml:space="preserve">. Add API and optionally release modifiers, fillers, and surfactants. Mix between</w:t>
      </w:r>
      <w:r>
        <w:t xml:space="preserve"> </w:t>
      </w:r>
      <w:r>
        <w:rPr>
          <w:b/>
          <w:bCs/>
        </w:rPr>
        <w:t xml:space="preserve">30 seconds and 4 hours</w:t>
      </w:r>
      <w:r>
        <w:t xml:space="preserve">. Cool by any of: passive cooling on trays, active jacketed cooling, cryogenic cooling (CO₂, N₂), forced-air cooling, conveyor belt cooling, drum cooling, or pastillation. Mill the cooled mass through a screen of mesh size</w:t>
      </w:r>
      <w:r>
        <w:t xml:space="preserve"> </w:t>
      </w:r>
      <w:r>
        <w:rPr>
          <w:b/>
          <w:bCs/>
        </w:rPr>
        <w:t xml:space="preserve">10 to 200</w:t>
      </w:r>
      <w:r>
        <w:t xml:space="preserve"> </w:t>
      </w:r>
      <w:r>
        <w:t xml:space="preserve">(corresponding to particle sizes ~75 μm to ~2000 μm). Optional annealing at any temperature</w:t>
      </w:r>
      <w:r>
        <w:t xml:space="preserve"> </w:t>
      </w:r>
      <w:r>
        <w:rPr>
          <w:b/>
          <w:bCs/>
        </w:rPr>
        <w:t xml:space="preserve">5–30 °C below the lowest lipid melting point</w:t>
      </w:r>
      <w:r>
        <w:t xml:space="preserve"> </w:t>
      </w:r>
      <w:r>
        <w:t xml:space="preserve">for</w:t>
      </w:r>
      <w:r>
        <w:t xml:space="preserve"> </w:t>
      </w:r>
      <w:r>
        <w:rPr>
          <w:b/>
          <w:bCs/>
        </w:rPr>
        <w:t xml:space="preserve">1 minute to 30 days</w:t>
      </w:r>
      <w:r>
        <w:t xml:space="preserve">. Equipment: high-shear mixers (Diosna, Glatt VG, Aeromatic-Fielder GP, Loedige), planetary mixers, jacketed kettles, twin-shell blenders.</w:t>
      </w:r>
    </w:p>
    <w:bookmarkEnd w:id="64"/>
    <w:bookmarkStart w:id="65" w:name="hot-melt-extrusion-hme"/>
    <w:p>
      <w:pPr>
        <w:pStyle w:val="Heading3"/>
      </w:pPr>
      <w:r>
        <w:t xml:space="preserve">12.2 Hot-melt extrusion (HME)</w:t>
      </w:r>
    </w:p>
    <w:p>
      <w:pPr>
        <w:pStyle w:val="FirstParagraph"/>
      </w:pPr>
      <w:r>
        <w:t xml:space="preserve">Feed pre-blended API + lipid matrix former + optional excipients into a single-screw or twin-screw (co-rotating or counter-rotating, intermeshing or non-intermeshing) extruder with</w:t>
      </w:r>
      <w:r>
        <w:t xml:space="preserve"> </w:t>
      </w:r>
      <w:r>
        <w:rPr>
          <w:b/>
          <w:bCs/>
        </w:rPr>
        <w:t xml:space="preserve">2 to 16 heating zones</w:t>
      </w:r>
      <w:r>
        <w:t xml:space="preserve">. Zone temperatures from</w:t>
      </w:r>
      <w:r>
        <w:t xml:space="preserve"> </w:t>
      </w:r>
      <w:r>
        <w:rPr>
          <w:b/>
          <w:bCs/>
        </w:rPr>
        <w:t xml:space="preserve">30 °C to 220 °C</w:t>
      </w:r>
      <w:r>
        <w:t xml:space="preserve">, screw speed from</w:t>
      </w:r>
      <w:r>
        <w:t xml:space="preserve"> </w:t>
      </w:r>
      <w:r>
        <w:rPr>
          <w:b/>
          <w:bCs/>
        </w:rPr>
        <w:t xml:space="preserve">5 to 1000 rpm</w:t>
      </w:r>
      <w:r>
        <w:t xml:space="preserve">, throughput</w:t>
      </w:r>
      <w:r>
        <w:t xml:space="preserve"> </w:t>
      </w:r>
      <w:r>
        <w:rPr>
          <w:b/>
          <w:bCs/>
        </w:rPr>
        <w:t xml:space="preserve">0.1 to 500 kg/h</w:t>
      </w:r>
      <w:r>
        <w:t xml:space="preserve">. Die configurations: rod, ribbon, strand, lens, sheet, cylinder, multi-hole. Downstream: chill roll, conveyor, pelletizer, cryomill, hammer mill, jet mill. Equipment: Leistritz, Thermo Fisher Pharma 11/16/24, Coperion ZSK series, Steer Omicron, Brabender, Haake, Buss kneader.</w:t>
      </w:r>
    </w:p>
    <w:bookmarkEnd w:id="65"/>
    <w:bookmarkStart w:id="66" w:name="spray-congealing-spray-chilling"/>
    <w:p>
      <w:pPr>
        <w:pStyle w:val="Heading3"/>
      </w:pPr>
      <w:r>
        <w:t xml:space="preserve">12.3 Spray congealing / spray chilling</w:t>
      </w:r>
    </w:p>
    <w:p>
      <w:pPr>
        <w:pStyle w:val="FirstParagraph"/>
      </w:pPr>
      <w:r>
        <w:t xml:space="preserve">Atomize molten lipid (containing dissolved or dispersed API) through pressure, two-fluid, ultrasonic, rotary disk, or vibrating-orifice nozzle into a cooled chamber at</w:t>
      </w:r>
      <w:r>
        <w:t xml:space="preserve"> </w:t>
      </w:r>
      <w:r>
        <w:rPr>
          <w:b/>
          <w:bCs/>
        </w:rPr>
        <w:t xml:space="preserve">−40 °C to +30 °C</w:t>
      </w:r>
      <w:r>
        <w:t xml:space="preserve">. Particle size</w:t>
      </w:r>
      <w:r>
        <w:t xml:space="preserve"> </w:t>
      </w:r>
      <w:r>
        <w:rPr>
          <w:b/>
          <w:bCs/>
        </w:rPr>
        <w:t xml:space="preserve">5 μm to 2 mm</w:t>
      </w:r>
      <w:r>
        <w:t xml:space="preserve">. Equipment: Buchi B-290 with chilling unit, GEA Niro spray congealer, ProCepT 4M8, Brace pastillator.</w:t>
      </w:r>
    </w:p>
    <w:bookmarkEnd w:id="66"/>
    <w:bookmarkStart w:id="67" w:name="melt-pelletization"/>
    <w:p>
      <w:pPr>
        <w:pStyle w:val="Heading3"/>
      </w:pPr>
      <w:r>
        <w:t xml:space="preserve">12.4 Melt pelletization</w:t>
      </w:r>
    </w:p>
    <w:p>
      <w:pPr>
        <w:pStyle w:val="FirstParagraph"/>
      </w:pPr>
      <w:r>
        <w:t xml:space="preserve">In a high-shear granulator at</w:t>
      </w:r>
      <w:r>
        <w:t xml:space="preserve"> </w:t>
      </w:r>
      <w:r>
        <w:rPr>
          <w:b/>
          <w:bCs/>
        </w:rPr>
        <w:t xml:space="preserve">40 °C to 110 °C</w:t>
      </w:r>
      <w:r>
        <w:t xml:space="preserve">, agglomerate lipid + API + excipients to spherical pellets of</w:t>
      </w:r>
      <w:r>
        <w:t xml:space="preserve"> </w:t>
      </w:r>
      <w:r>
        <w:rPr>
          <w:b/>
          <w:bCs/>
        </w:rPr>
        <w:t xml:space="preserve">0.1 to 3 mm</w:t>
      </w:r>
      <w:r>
        <w:t xml:space="preserve">. Optional in-situ extrusion-spheronization with heated equipment.</w:t>
      </w:r>
    </w:p>
    <w:bookmarkEnd w:id="67"/>
    <w:bookmarkStart w:id="68" w:name="spray-drying-with-lipid-carrier"/>
    <w:p>
      <w:pPr>
        <w:pStyle w:val="Heading3"/>
      </w:pPr>
      <w:r>
        <w:t xml:space="preserve">12.5 Spray drying with lipid carrier</w:t>
      </w:r>
    </w:p>
    <w:p>
      <w:pPr>
        <w:pStyle w:val="FirstParagraph"/>
      </w:pPr>
      <w:r>
        <w:t xml:space="preserve">Dissolve or disperse lipid + API in a volatile solvent (ethanol, isopropanol, dichloromethane, ethyl acetate, acetone, tert-butanol, water, or mixtures), spray-dry at inlet</w:t>
      </w:r>
      <w:r>
        <w:t xml:space="preserve"> </w:t>
      </w:r>
      <w:r>
        <w:rPr>
          <w:b/>
          <w:bCs/>
        </w:rPr>
        <w:t xml:space="preserve">80–220 °C</w:t>
      </w:r>
      <w:r>
        <w:t xml:space="preserve">, outlet</w:t>
      </w:r>
      <w:r>
        <w:t xml:space="preserve"> </w:t>
      </w:r>
      <w:r>
        <w:rPr>
          <w:b/>
          <w:bCs/>
        </w:rPr>
        <w:t xml:space="preserve">40–120 °C</w:t>
      </w:r>
      <w:r>
        <w:t xml:space="preserve">, atomization pressure</w:t>
      </w:r>
      <w:r>
        <w:t xml:space="preserve"> </w:t>
      </w:r>
      <w:r>
        <w:rPr>
          <w:b/>
          <w:bCs/>
        </w:rPr>
        <w:t xml:space="preserve">0.5–10 bar</w:t>
      </w:r>
      <w:r>
        <w:t xml:space="preserve">.</w:t>
      </w:r>
    </w:p>
    <w:bookmarkEnd w:id="68"/>
    <w:bookmarkStart w:id="69" w:name="solvent-evaporation-casting"/>
    <w:p>
      <w:pPr>
        <w:pStyle w:val="Heading3"/>
      </w:pPr>
      <w:r>
        <w:t xml:space="preserve">12.6 Solvent evaporation / casting</w:t>
      </w:r>
    </w:p>
    <w:p>
      <w:pPr>
        <w:pStyle w:val="FirstParagraph"/>
      </w:pPr>
      <w:r>
        <w:t xml:space="preserve">Dissolve lipid + API in a co-solvent system, evaporate under vacuum, ambient, or elevated temperature to form a solid lipid matrix. Mill or compress as needed.</w:t>
      </w:r>
    </w:p>
    <w:bookmarkEnd w:id="69"/>
    <w:bookmarkStart w:id="70" w:name="supercritical-fluid-processing"/>
    <w:p>
      <w:pPr>
        <w:pStyle w:val="Heading3"/>
      </w:pPr>
      <w:r>
        <w:t xml:space="preserve">12.7 Supercritical fluid processing</w:t>
      </w:r>
    </w:p>
    <w:p>
      <w:pPr>
        <w:pStyle w:val="FirstParagraph"/>
      </w:pPr>
      <w:r>
        <w:t xml:space="preserve">Particles from gas-saturated solutions (PGSS); rapid expansion of supercritical solutions (RESS); supercritical antisolvent (SAS); solution-enhanced dispersion by supercritical fluids (SEDS); aerosol solvent extraction system (ASES). Pressure</w:t>
      </w:r>
      <w:r>
        <w:t xml:space="preserve"> </w:t>
      </w:r>
      <w:r>
        <w:rPr>
          <w:b/>
          <w:bCs/>
        </w:rPr>
        <w:t xml:space="preserve">50–500 bar</w:t>
      </w:r>
      <w:r>
        <w:t xml:space="preserve">, temperature</w:t>
      </w:r>
      <w:r>
        <w:t xml:space="preserve"> </w:t>
      </w:r>
      <w:r>
        <w:rPr>
          <w:b/>
          <w:bCs/>
        </w:rPr>
        <w:t xml:space="preserve">30–150 °C</w:t>
      </w:r>
      <w:r>
        <w:t xml:space="preserve">, CO₂ flow</w:t>
      </w:r>
      <w:r>
        <w:t xml:space="preserve"> </w:t>
      </w:r>
      <w:r>
        <w:rPr>
          <w:b/>
          <w:bCs/>
        </w:rPr>
        <w:t xml:space="preserve">0.1–100 kg/h</w:t>
      </w:r>
      <w:r>
        <w:t xml:space="preserve">.</w:t>
      </w:r>
    </w:p>
    <w:bookmarkEnd w:id="70"/>
    <w:bookmarkStart w:id="71" w:name="coacervation"/>
    <w:p>
      <w:pPr>
        <w:pStyle w:val="Heading3"/>
      </w:pPr>
      <w:r>
        <w:t xml:space="preserve">12.8 Coacervation</w:t>
      </w:r>
    </w:p>
    <w:p>
      <w:pPr>
        <w:pStyle w:val="FirstParagraph"/>
      </w:pPr>
      <w:r>
        <w:t xml:space="preserve">Phase separation of lipid + API in solvent + non-solvent system; harden by cooling, cross-linking, or solvent removal.</w:t>
      </w:r>
    </w:p>
    <w:bookmarkEnd w:id="71"/>
    <w:bookmarkStart w:id="72" w:name="X5d6ffcb033f9f6e7bedbdcdf8c62745b09c88c2"/>
    <w:p>
      <w:pPr>
        <w:pStyle w:val="Heading3"/>
      </w:pPr>
      <w:r>
        <w:t xml:space="preserve">12.9 Solid lipid nanoparticle / nanostructured lipid carrier preparation</w:t>
      </w:r>
    </w:p>
    <w:p>
      <w:pPr>
        <w:pStyle w:val="FirstParagraph"/>
      </w:pPr>
      <w:r>
        <w:t xml:space="preserve">High-pressure homogenization (hot or cold), microemulsion, solvent diffusion, solvent injection, double emulsification, ultrasonication, membrane contactor; pressures</w:t>
      </w:r>
      <w:r>
        <w:t xml:space="preserve"> </w:t>
      </w:r>
      <w:r>
        <w:rPr>
          <w:b/>
          <w:bCs/>
        </w:rPr>
        <w:t xml:space="preserve">100–2000 bar</w:t>
      </w:r>
      <w:r>
        <w:t xml:space="preserve">.</w:t>
      </w:r>
    </w:p>
    <w:bookmarkEnd w:id="72"/>
    <w:bookmarkStart w:id="73" w:name="cryogenic-milling-freeze-grinding"/>
    <w:p>
      <w:pPr>
        <w:pStyle w:val="Heading3"/>
      </w:pPr>
      <w:r>
        <w:t xml:space="preserve">12.10 Cryogenic milling / freeze-grinding</w:t>
      </w:r>
    </w:p>
    <w:p>
      <w:pPr>
        <w:pStyle w:val="FirstParagraph"/>
      </w:pPr>
      <w:r>
        <w:t xml:space="preserve">Mill lipid + API at</w:t>
      </w:r>
      <w:r>
        <w:t xml:space="preserve"> </w:t>
      </w:r>
      <w:r>
        <w:rPr>
          <w:b/>
          <w:bCs/>
        </w:rPr>
        <w:t xml:space="preserve">−30 °C to −196 °C</w:t>
      </w:r>
      <w:r>
        <w:t xml:space="preserve"> </w:t>
      </w:r>
      <w:r>
        <w:t xml:space="preserve">using LN₂ or solid CO₂; particle size</w:t>
      </w:r>
      <w:r>
        <w:t xml:space="preserve"> </w:t>
      </w:r>
      <w:r>
        <w:rPr>
          <w:b/>
          <w:bCs/>
        </w:rPr>
        <w:t xml:space="preserve">1–500 μm</w:t>
      </w:r>
      <w:r>
        <w:t xml:space="preserve">.</w:t>
      </w:r>
    </w:p>
    <w:bookmarkEnd w:id="73"/>
    <w:bookmarkStart w:id="74" w:name="direct-compression"/>
    <w:p>
      <w:pPr>
        <w:pStyle w:val="Heading3"/>
      </w:pPr>
      <w:r>
        <w:t xml:space="preserve">12.11 Direct compression</w:t>
      </w:r>
    </w:p>
    <w:p>
      <w:pPr>
        <w:pStyle w:val="FirstParagraph"/>
      </w:pPr>
      <w:r>
        <w:t xml:space="preserve">Pre-blend API + lipid matrix former (in solid form, with or without prior thermal pretreatment) + fillers + lubricants; compress at</w:t>
      </w:r>
      <w:r>
        <w:t xml:space="preserve"> </w:t>
      </w:r>
      <w:r>
        <w:rPr>
          <w:b/>
          <w:bCs/>
        </w:rPr>
        <w:t xml:space="preserve">2–50 kN</w:t>
      </w:r>
      <w:r>
        <w:t xml:space="preserve"> </w:t>
      </w:r>
      <w:r>
        <w:t xml:space="preserve">main force on rotary, single-station, or instrumented presses.</w:t>
      </w:r>
    </w:p>
    <w:bookmarkEnd w:id="74"/>
    <w:bookmarkStart w:id="75" w:name="wet-granulation-with-molten-lipid-binder"/>
    <w:p>
      <w:pPr>
        <w:pStyle w:val="Heading3"/>
      </w:pPr>
      <w:r>
        <w:t xml:space="preserve">12.12 Wet granulation with molten lipid binder</w:t>
      </w:r>
    </w:p>
    <w:p>
      <w:pPr>
        <w:pStyle w:val="FirstParagraph"/>
      </w:pPr>
      <w:r>
        <w:t xml:space="preserve">Top-spray, bottom-spray (Wurster), or tangential-spray fluid-bed granulation with molten lipid binder; bed temperature</w:t>
      </w:r>
      <w:r>
        <w:t xml:space="preserve"> </w:t>
      </w:r>
      <w:r>
        <w:rPr>
          <w:b/>
          <w:bCs/>
        </w:rPr>
        <w:t xml:space="preserve">above lipid melting point</w:t>
      </w:r>
      <w:r>
        <w:t xml:space="preserve">, atomization pressure</w:t>
      </w:r>
      <w:r>
        <w:t xml:space="preserve"> </w:t>
      </w:r>
      <w:r>
        <w:rPr>
          <w:b/>
          <w:bCs/>
        </w:rPr>
        <w:t xml:space="preserve">1–6 bar</w:t>
      </w:r>
      <w:r>
        <w:t xml:space="preserve">.</w:t>
      </w:r>
    </w:p>
    <w:bookmarkEnd w:id="75"/>
    <w:bookmarkStart w:id="76" w:name="d-printing-of-lipid-matrices"/>
    <w:p>
      <w:pPr>
        <w:pStyle w:val="Heading3"/>
      </w:pPr>
      <w:r>
        <w:t xml:space="preserve">12.13 3D printing of lipid matrices</w:t>
      </w:r>
    </w:p>
    <w:p>
      <w:pPr>
        <w:pStyle w:val="FirstParagraph"/>
      </w:pPr>
      <w:r>
        <w:t xml:space="preserve">Fused deposition modeling (FDM), semi-solid extrusion (SSE), selective laser sintering (SLS), powder bed fusion, drop-on-powder, drop-on-drop. Layer height</w:t>
      </w:r>
      <w:r>
        <w:t xml:space="preserve"> </w:t>
      </w:r>
      <w:r>
        <w:rPr>
          <w:b/>
          <w:bCs/>
        </w:rPr>
        <w:t xml:space="preserve">10–500 μm</w:t>
      </w:r>
      <w:r>
        <w:t xml:space="preserve">, nozzle temperature</w:t>
      </w:r>
      <w:r>
        <w:t xml:space="preserve"> </w:t>
      </w:r>
      <w:r>
        <w:rPr>
          <w:b/>
          <w:bCs/>
        </w:rPr>
        <w:t xml:space="preserve">40–200 °C</w:t>
      </w:r>
      <w:r>
        <w:t xml:space="preserve">.</w:t>
      </w:r>
    </w:p>
    <w:bookmarkEnd w:id="76"/>
    <w:bookmarkStart w:id="77" w:name="X25860c2d49d3a94d403351c55670525bf1d418d"/>
    <w:p>
      <w:pPr>
        <w:pStyle w:val="Heading3"/>
      </w:pPr>
      <w:r>
        <w:t xml:space="preserve">12.14 Compression-coating, dry-coating, electrostatic coating</w:t>
      </w:r>
    </w:p>
    <w:p>
      <w:pPr>
        <w:pStyle w:val="FirstParagraph"/>
      </w:pPr>
      <w:r>
        <w:t xml:space="preserve">Apply lipid matrix as core or shell over an immediate-release or extended-release inner phase using compression-coating, dry-powder coating, or electrostatic coating equipment.</w:t>
      </w:r>
    </w:p>
    <w:bookmarkEnd w:id="77"/>
    <w:bookmarkStart w:id="78" w:name="X24c4a1294241910b1dd7cadce18521c8b13e155"/>
    <w:p>
      <w:pPr>
        <w:pStyle w:val="Heading3"/>
      </w:pPr>
      <w:r>
        <w:t xml:space="preserve">12.15 Co-melt with simultaneous in-situ complexation</w:t>
      </w:r>
    </w:p>
    <w:p>
      <w:pPr>
        <w:pStyle w:val="FirstParagraph"/>
      </w:pPr>
      <w:r>
        <w:t xml:space="preserve">Melt lipid + API in presence of cyclodextrin, mesoporous silica, polymer carrier, or co-former to produce a co-complex within the lipid matrix.</w:t>
      </w:r>
    </w:p>
    <w:bookmarkEnd w:id="78"/>
    <w:bookmarkStart w:id="79" w:name="equipment-equivalence-statement"/>
    <w:p>
      <w:pPr>
        <w:pStyle w:val="Heading3"/>
      </w:pPr>
      <w:r>
        <w:t xml:space="preserve">12.16 Equipment equivalence statement</w:t>
      </w:r>
    </w:p>
    <w:p>
      <w:pPr>
        <w:pStyle w:val="FirstParagraph"/>
      </w:pPr>
      <w:r>
        <w:t xml:space="preserve">For each process listed, any equivalent commercial or laboratory-scale equipment from any vendor (current or future), and any equivalent process parameter range achieving substantially the same lipid-matrix solid form, is expressly disclosed.</w:t>
      </w:r>
    </w:p>
    <w:p>
      <w:r>
        <w:pict>
          <v:rect style="width:0;height:1.5pt" o:hralign="center" o:hrstd="t" o:hr="t"/>
        </w:pict>
      </w:r>
    </w:p>
    <w:bookmarkEnd w:id="79"/>
    <w:bookmarkEnd w:id="80"/>
    <w:bookmarkStart w:id="89" w:name="dosage-form-form-factor-genus"/>
    <w:p>
      <w:pPr>
        <w:pStyle w:val="Heading2"/>
      </w:pPr>
      <w:r>
        <w:t xml:space="preserve">13. DOSAGE FORM / FORM-FACTOR GENUS</w:t>
      </w:r>
    </w:p>
    <w:p>
      <w:pPr>
        <w:pStyle w:val="FirstParagraph"/>
      </w:pPr>
      <w:r>
        <w:t xml:space="preserve">The lipid matrix composition may be presented in any of the following dosage forms. All forms are expressly disclosed for any API or API combination in §10.</w:t>
      </w:r>
    </w:p>
    <w:bookmarkStart w:id="81" w:name="tablets"/>
    <w:p>
      <w:pPr>
        <w:pStyle w:val="Heading3"/>
      </w:pPr>
      <w:r>
        <w:t xml:space="preserve">13.1 Tablets</w:t>
      </w:r>
    </w:p>
    <w:p>
      <w:pPr>
        <w:pStyle w:val="FirstParagraph"/>
      </w:pPr>
      <w:r>
        <w:t xml:space="preserve">Round, oval, oblong, caplet, biconvex, flat-faced, beveled-edge, scored, embossed, debossed, layered (mono-, bi-, tri-, multi-layer), tablet-in-tablet (compression-coated), inlay tablets, mini-tablets (1–4 mm), micro-tablets (&lt;1 mm). Weight from</w:t>
      </w:r>
      <w:r>
        <w:t xml:space="preserve"> </w:t>
      </w:r>
      <w:r>
        <w:rPr>
          <w:b/>
          <w:bCs/>
        </w:rPr>
        <w:t xml:space="preserve">20 mg to 2000 mg</w:t>
      </w:r>
      <w:r>
        <w:t xml:space="preserve">. Hardness</w:t>
      </w:r>
      <w:r>
        <w:t xml:space="preserve"> </w:t>
      </w:r>
      <w:r>
        <w:rPr>
          <w:b/>
          <w:bCs/>
        </w:rPr>
        <w:t xml:space="preserve">2 to 30 kP</w:t>
      </w:r>
      <w:r>
        <w:t xml:space="preserve">. Friability</w:t>
      </w:r>
      <w:r>
        <w:t xml:space="preserve"> </w:t>
      </w:r>
      <w:r>
        <w:rPr>
          <w:b/>
          <w:bCs/>
        </w:rPr>
        <w:t xml:space="preserve">&lt;1.0%</w:t>
      </w:r>
      <w:r>
        <w:t xml:space="preserve">.</w:t>
      </w:r>
    </w:p>
    <w:bookmarkEnd w:id="81"/>
    <w:bookmarkStart w:id="82" w:name="capsules"/>
    <w:p>
      <w:pPr>
        <w:pStyle w:val="Heading3"/>
      </w:pPr>
      <w:r>
        <w:t xml:space="preserve">13.2 Capsules</w:t>
      </w:r>
    </w:p>
    <w:p>
      <w:pPr>
        <w:pStyle w:val="FirstParagraph"/>
      </w:pPr>
      <w:r>
        <w:t xml:space="preserve">Hard gelatin capsules (sizes 000, 00, 0, 1, 2, 3, 4, 5); hard hypromellose (HPMC) capsules; hard pullulan capsules; soft gelatin capsules; sprinkle capsules; liquid-filled hard capsules. Capsule fill: powder, granules, pellets, mini-tablets, micro-tablets, microspheres, lipid suspension, lipid solution, or any combination thereof.</w:t>
      </w:r>
    </w:p>
    <w:bookmarkEnd w:id="82"/>
    <w:bookmarkStart w:id="83" w:name="multi-particulate-systems"/>
    <w:p>
      <w:pPr>
        <w:pStyle w:val="Heading3"/>
      </w:pPr>
      <w:r>
        <w:t xml:space="preserve">13.3 Multi-particulate systems</w:t>
      </w:r>
    </w:p>
    <w:p>
      <w:pPr>
        <w:pStyle w:val="FirstParagraph"/>
      </w:pPr>
      <w:r>
        <w:t xml:space="preserve">Pellets (0.5–3 mm); beads; microspheres (1 μm–500 μm); nanoparticles (10 nm–1000 nm); microparticles; granules; powders. Filled into capsules, sachets, stick-packs, oral suspensions, or compressed into MUPS tablets that disintegrate to release intact lipid-matrix particles.</w:t>
      </w:r>
    </w:p>
    <w:bookmarkEnd w:id="83"/>
    <w:bookmarkStart w:id="84" w:name="X033dbe14efc6ab8239358183353d9dfd154b39f"/>
    <w:p>
      <w:pPr>
        <w:pStyle w:val="Heading3"/>
      </w:pPr>
      <w:r>
        <w:t xml:space="preserve">13.4 Sachets, stick-packs, and orally disintegrating forms</w:t>
      </w:r>
    </w:p>
    <w:p>
      <w:pPr>
        <w:pStyle w:val="FirstParagraph"/>
      </w:pPr>
      <w:r>
        <w:t xml:space="preserve">Single-dose sachets; multi-dose sachets; stick-packs; orally disintegrating tablets (ODT) with lipid-matrix-encased active; orally disintegrating granules; chewable tablets; gummies (lipid-matrix particles dispersed in gummy base); lozenges; troches; films (oral disintegrating films, buccal films, sublingual films); medicated chewing gums.</w:t>
      </w:r>
    </w:p>
    <w:bookmarkEnd w:id="84"/>
    <w:bookmarkStart w:id="85" w:name="implantable-long-acting-forms"/>
    <w:p>
      <w:pPr>
        <w:pStyle w:val="Heading3"/>
      </w:pPr>
      <w:r>
        <w:t xml:space="preserve">13.5 Implantable / long-acting forms</w:t>
      </w:r>
    </w:p>
    <w:p>
      <w:pPr>
        <w:pStyle w:val="FirstParagraph"/>
      </w:pPr>
      <w:r>
        <w:t xml:space="preserve">Subcutaneous lipid-matrix implants (1–60 mm rod); intramuscular depot suspensions (lipid microspheres); intra-articular depots; intra-ocular implants; intravitreal implants; intratumoral depots; intra-follicular depots (for hair-loss application); subcuticular depots.</w:t>
      </w:r>
    </w:p>
    <w:bookmarkEnd w:id="85"/>
    <w:bookmarkStart w:id="86" w:name="topical-and-transdermal-forms"/>
    <w:p>
      <w:pPr>
        <w:pStyle w:val="Heading3"/>
      </w:pPr>
      <w:r>
        <w:t xml:space="preserve">13.6 Topical and transdermal forms</w:t>
      </w:r>
    </w:p>
    <w:p>
      <w:pPr>
        <w:pStyle w:val="FirstParagraph"/>
      </w:pPr>
      <w:r>
        <w:t xml:space="preserve">Topical lipid-matrix patches; lipid-matrix microspheres in cream or gel base; lipid-matrix loaded microneedle arrays; iontophoretic patches with lipid-matrix reservoir; lipid-matrix in shampoo, foam, lotion, serum, conditioner, or scalp solution.</w:t>
      </w:r>
    </w:p>
    <w:bookmarkEnd w:id="86"/>
    <w:bookmarkStart w:id="87" w:name="inhalation-and-nasal-forms"/>
    <w:p>
      <w:pPr>
        <w:pStyle w:val="Heading3"/>
      </w:pPr>
      <w:r>
        <w:t xml:space="preserve">13.7 Inhalation and nasal forms</w:t>
      </w:r>
    </w:p>
    <w:p>
      <w:pPr>
        <w:pStyle w:val="FirstParagraph"/>
      </w:pPr>
      <w:r>
        <w:t xml:space="preserve">Dry-powder inhaler (DPI) particles; pressurized metered-dose inhaler (pMDI) suspensions; nasal powder; nasal spray with lipid-matrix microspheres.</w:t>
      </w:r>
    </w:p>
    <w:bookmarkEnd w:id="87"/>
    <w:bookmarkStart w:id="88" w:name="coatings-functional-and-non-functional"/>
    <w:p>
      <w:pPr>
        <w:pStyle w:val="Heading3"/>
      </w:pPr>
      <w:r>
        <w:t xml:space="preserve">13.8 Coatings (functional and non-functional)</w:t>
      </w:r>
    </w:p>
    <w:p>
      <w:pPr>
        <w:pStyle w:val="FirstParagraph"/>
      </w:pPr>
      <w:r>
        <w:t xml:space="preserve">Each form (§§13.1–13.7) may further bear one or more of the following coatings:</w:t>
      </w:r>
    </w:p>
    <w:p>
      <w:pPr>
        <w:pStyle w:val="Compact"/>
        <w:numPr>
          <w:ilvl w:val="0"/>
          <w:numId w:val="1005"/>
        </w:numPr>
      </w:pPr>
      <w:r>
        <w:t xml:space="preserve">Non-functional film coats: HPMC-based (Opadry I/II/QX), PVA-based, sugar coats.</w:t>
      </w:r>
    </w:p>
    <w:p>
      <w:pPr>
        <w:pStyle w:val="Compact"/>
        <w:numPr>
          <w:ilvl w:val="0"/>
          <w:numId w:val="1005"/>
        </w:numPr>
      </w:pPr>
      <w:r>
        <w:t xml:space="preserve">Enteric coats: Eudragit L100, L100-55, S100, FS30D, L30 D-55; HPMC-AS (LF, MF, HF); HPMC-P; cellulose acetate phthalate; polyvinyl acetate phthalate; shellac; zein.</w:t>
      </w:r>
    </w:p>
    <w:p>
      <w:pPr>
        <w:pStyle w:val="Compact"/>
        <w:numPr>
          <w:ilvl w:val="0"/>
          <w:numId w:val="1005"/>
        </w:numPr>
      </w:pPr>
      <w:r>
        <w:t xml:space="preserve">Sustained-release coats: Eudragit RS, RL, NE 30D/40D; ethylcellulose (Aquacoat ECD, Surelease); cellulose acetate (semipermeable); ethylene-vinyl acetate; silicone elastomers.</w:t>
      </w:r>
    </w:p>
    <w:p>
      <w:pPr>
        <w:pStyle w:val="Compact"/>
        <w:numPr>
          <w:ilvl w:val="0"/>
          <w:numId w:val="1005"/>
        </w:numPr>
      </w:pPr>
      <w:r>
        <w:t xml:space="preserve">Delayed/pulsatile coats: Eudragit E (gastric), Eudragit FS (colonic), CODES, OROS Push-Stick, CONTIN, Pulsincap-type.</w:t>
      </w:r>
    </w:p>
    <w:p>
      <w:pPr>
        <w:pStyle w:val="Compact"/>
        <w:numPr>
          <w:ilvl w:val="0"/>
          <w:numId w:val="1005"/>
        </w:numPr>
      </w:pPr>
      <w:r>
        <w:t xml:space="preserve">Gastro-retentive systems: floating, mucoadhesive (Carbopol, chitosan, thiomers), expanding, magnetic, raft-forming.</w:t>
      </w:r>
    </w:p>
    <w:p>
      <w:pPr>
        <w:pStyle w:val="Compact"/>
        <w:numPr>
          <w:ilvl w:val="0"/>
          <w:numId w:val="1005"/>
        </w:numPr>
      </w:pPr>
      <w:r>
        <w:t xml:space="preserve">Bioadhesive coats; pH-responsive coats; redox-responsive coats; enzyme-responsive coats; time-controlled coats.</w:t>
      </w:r>
    </w:p>
    <w:p>
      <w:pPr>
        <w:pStyle w:val="Compact"/>
        <w:numPr>
          <w:ilvl w:val="0"/>
          <w:numId w:val="1005"/>
        </w:numPr>
      </w:pPr>
      <w:r>
        <w:t xml:space="preserve">Color coats, taste-mask coats, moisture-barrier coats, light-barrier coats.</w:t>
      </w:r>
    </w:p>
    <w:p>
      <w:r>
        <w:pict>
          <v:rect style="width:0;height:1.5pt" o:hralign="center" o:hrstd="t" o:hr="t"/>
        </w:pict>
      </w:r>
    </w:p>
    <w:bookmarkEnd w:id="88"/>
    <w:bookmarkEnd w:id="89"/>
    <w:bookmarkStart w:id="90" w:name="dose-and-pharmacokinetic-genus"/>
    <w:p>
      <w:pPr>
        <w:pStyle w:val="Heading2"/>
      </w:pPr>
      <w:r>
        <w:t xml:space="preserve">14. DOSE AND PHARMACOKINETIC GENUS</w:t>
      </w:r>
    </w:p>
    <w:p>
      <w:pPr>
        <w:pStyle w:val="FirstParagraph"/>
      </w:pPr>
      <w:r>
        <w:t xml:space="preserve">For each API in §10, the disclosed lipid matrix dosage form may contain any unit dose from</w:t>
      </w:r>
      <w:r>
        <w:t xml:space="preserve"> </w:t>
      </w:r>
      <w:r>
        <w:rPr>
          <w:b/>
          <w:bCs/>
        </w:rPr>
        <w:t xml:space="preserve">0.01 mg to 5000 mg</w:t>
      </w:r>
      <w:r>
        <w:t xml:space="preserve">, with preferred ranges depending on the API. For minoxidil specifically, unit doses of</w:t>
      </w:r>
      <w:r>
        <w:t xml:space="preserve"> </w:t>
      </w:r>
      <w:r>
        <w:rPr>
          <w:b/>
          <w:bCs/>
        </w:rPr>
        <w:t xml:space="preserve">0.1, 0.25, 0.5, 1, 2, 2.5, 5, 7.5, 8.5, 10, 12.5, 15, 17, 20, 25, 30, 40, 50 mg</w:t>
      </w:r>
      <w:r>
        <w:t xml:space="preserve"> </w:t>
      </w:r>
      <w:r>
        <w:t xml:space="preserve">(and all integer and 0.1 mg increments between) are expressly disclosed.</w:t>
      </w:r>
    </w:p>
    <w:p>
      <w:pPr>
        <w:pStyle w:val="BodyText"/>
      </w:pPr>
      <w:r>
        <w:t xml:space="preserve">Dosing frequencies expressly disclosed: once daily (QD), twice daily (BID), three times daily (TID), four times daily (QID), every 4/6/8/12/24/36/48/72 hours, weekly, biweekly, monthly, every 3 months, every 6 months, every 12 months, as needed (PRN).</w:t>
      </w:r>
    </w:p>
    <w:p>
      <w:pPr>
        <w:pStyle w:val="BodyText"/>
      </w:pPr>
      <w:r>
        <w:t xml:space="preserve">Pharmacokinetic targets expressly disclosed (each as a range):</w:t>
      </w:r>
    </w:p>
    <w:p>
      <w:pPr>
        <w:pStyle w:val="Compact"/>
        <w:numPr>
          <w:ilvl w:val="0"/>
          <w:numId w:val="1006"/>
        </w:numPr>
      </w:pPr>
      <w:r>
        <w:t xml:space="preserve">Cmax: any value from</w:t>
      </w:r>
      <w:r>
        <w:t xml:space="preserve"> </w:t>
      </w:r>
      <w:r>
        <w:rPr>
          <w:b/>
          <w:bCs/>
        </w:rPr>
        <w:t xml:space="preserve">0.1 ng/mL to 1000 ng/mL</w:t>
      </w:r>
      <w:r>
        <w:t xml:space="preserve"> </w:t>
      </w:r>
      <w:r>
        <w:t xml:space="preserve">(API-dependent), and for minoxidil specifically any value from</w:t>
      </w:r>
      <w:r>
        <w:t xml:space="preserve"> </w:t>
      </w:r>
      <w:r>
        <w:rPr>
          <w:b/>
          <w:bCs/>
        </w:rPr>
        <w:t xml:space="preserve">1 ng/mL to 30 ng/mL</w:t>
      </w:r>
      <w:r>
        <w:t xml:space="preserve"> </w:t>
      </w:r>
      <w:r>
        <w:t xml:space="preserve">(preferably 3–15, most preferably 5–10).</w:t>
      </w:r>
    </w:p>
    <w:p>
      <w:pPr>
        <w:pStyle w:val="Compact"/>
        <w:numPr>
          <w:ilvl w:val="0"/>
          <w:numId w:val="1006"/>
        </w:numPr>
      </w:pPr>
      <w:r>
        <w:t xml:space="preserve">Tmax:</w:t>
      </w:r>
      <w:r>
        <w:t xml:space="preserve"> </w:t>
      </w:r>
      <w:r>
        <w:rPr>
          <w:b/>
          <w:bCs/>
        </w:rPr>
        <w:t xml:space="preserve">0.25 to 24 hours</w:t>
      </w:r>
      <w:r>
        <w:t xml:space="preserve"> </w:t>
      </w:r>
      <w:r>
        <w:t xml:space="preserve">(preferably 1–8, most preferably 2–4 for minoxidil).</w:t>
      </w:r>
    </w:p>
    <w:p>
      <w:pPr>
        <w:pStyle w:val="Compact"/>
        <w:numPr>
          <w:ilvl w:val="0"/>
          <w:numId w:val="1006"/>
        </w:numPr>
      </w:pPr>
      <w:r>
        <w:t xml:space="preserve">AUC₀–₂₄: any therapeutic value.</w:t>
      </w:r>
    </w:p>
    <w:p>
      <w:pPr>
        <w:pStyle w:val="Compact"/>
        <w:numPr>
          <w:ilvl w:val="0"/>
          <w:numId w:val="1006"/>
        </w:numPr>
      </w:pPr>
      <w:r>
        <w:t xml:space="preserve">Effective half-life:</w:t>
      </w:r>
      <w:r>
        <w:t xml:space="preserve"> </w:t>
      </w:r>
      <w:r>
        <w:rPr>
          <w:b/>
          <w:bCs/>
        </w:rPr>
        <w:t xml:space="preserve">2 hours to 7 days</w:t>
      </w:r>
      <w:r>
        <w:t xml:space="preserve"> </w:t>
      </w:r>
      <w:r>
        <w:t xml:space="preserve">(form-factor dependent).</w:t>
      </w:r>
    </w:p>
    <w:p>
      <w:pPr>
        <w:pStyle w:val="Compact"/>
        <w:numPr>
          <w:ilvl w:val="0"/>
          <w:numId w:val="1006"/>
        </w:numPr>
      </w:pPr>
      <w:r>
        <w:t xml:space="preserve">Trough/peak ratio:</w:t>
      </w:r>
      <w:r>
        <w:t xml:space="preserve"> </w:t>
      </w:r>
      <w:r>
        <w:rPr>
          <w:b/>
          <w:bCs/>
        </w:rPr>
        <w:t xml:space="preserve">0.1 to 1.0</w:t>
      </w:r>
      <w:r>
        <w:t xml:space="preserve"> </w:t>
      </w:r>
      <w:r>
        <w:t xml:space="preserve">(preferably 0.3–0.9).</w:t>
      </w:r>
    </w:p>
    <w:p>
      <w:pPr>
        <w:pStyle w:val="Compact"/>
        <w:numPr>
          <w:ilvl w:val="0"/>
          <w:numId w:val="1006"/>
        </w:numPr>
      </w:pPr>
      <w:r>
        <w:t xml:space="preserve">Food effect (Cmax_fed / Cmax_fasted):</w:t>
      </w:r>
      <w:r>
        <w:t xml:space="preserve"> </w:t>
      </w:r>
      <w:r>
        <w:rPr>
          <w:b/>
          <w:bCs/>
        </w:rPr>
        <w:t xml:space="preserve">0.5 to 2.0</w:t>
      </w:r>
      <w:r>
        <w:t xml:space="preserve"> </w:t>
      </w:r>
      <w:r>
        <w:t xml:space="preserve">(preferably 0.7–1.4).</w:t>
      </w:r>
    </w:p>
    <w:p>
      <w:pPr>
        <w:pStyle w:val="Compact"/>
        <w:numPr>
          <w:ilvl w:val="0"/>
          <w:numId w:val="1006"/>
        </w:numPr>
      </w:pPr>
      <w:r>
        <w:t xml:space="preserve">Inter-subject CV: any value below 50%.</w:t>
      </w:r>
    </w:p>
    <w:p>
      <w:r>
        <w:pict>
          <v:rect style="width:0;height:1.5pt" o:hralign="center" o:hrstd="t" o:hr="t"/>
        </w:pict>
      </w:r>
    </w:p>
    <w:bookmarkEnd w:id="90"/>
    <w:bookmarkStart w:id="91" w:name="release-profile-genus"/>
    <w:p>
      <w:pPr>
        <w:pStyle w:val="Heading2"/>
      </w:pPr>
      <w:r>
        <w:t xml:space="preserve">15. RELEASE PROFILE GENUS</w:t>
      </w:r>
    </w:p>
    <w:p>
      <w:pPr>
        <w:pStyle w:val="FirstParagraph"/>
      </w:pPr>
      <w:r>
        <w:t xml:space="preserve">The disclosed lipid matrix releases API according to one or more of the following profiles. All are expressly disclosed.</w:t>
      </w:r>
    </w:p>
    <w:p>
      <w:pPr>
        <w:pStyle w:val="Compact"/>
        <w:numPr>
          <w:ilvl w:val="0"/>
          <w:numId w:val="1007"/>
        </w:numPr>
      </w:pPr>
      <w:r>
        <w:rPr>
          <w:b/>
          <w:bCs/>
        </w:rPr>
        <w:t xml:space="preserve">Zero-order:</w:t>
      </w:r>
      <w:r>
        <w:t xml:space="preserve"> </w:t>
      </w:r>
      <w:r>
        <w:t xml:space="preserve">linear release, slope ±20% from constant.</w:t>
      </w:r>
    </w:p>
    <w:p>
      <w:pPr>
        <w:pStyle w:val="Compact"/>
        <w:numPr>
          <w:ilvl w:val="0"/>
          <w:numId w:val="1007"/>
        </w:numPr>
      </w:pPr>
      <w:r>
        <w:rPr>
          <w:b/>
          <w:bCs/>
        </w:rPr>
        <w:t xml:space="preserve">First-order:</w:t>
      </w:r>
      <w:r>
        <w:t xml:space="preserve"> </w:t>
      </w:r>
      <w:r>
        <w:t xml:space="preserve">exponential decay.</w:t>
      </w:r>
    </w:p>
    <w:p>
      <w:pPr>
        <w:pStyle w:val="Compact"/>
        <w:numPr>
          <w:ilvl w:val="0"/>
          <w:numId w:val="1007"/>
        </w:numPr>
      </w:pPr>
      <w:r>
        <w:rPr>
          <w:b/>
          <w:bCs/>
        </w:rPr>
        <w:t xml:space="preserve">Higuchi (square-root-of-time):</w:t>
      </w:r>
      <w:r>
        <w:t xml:space="preserve"> </w:t>
      </w:r>
      <w:r>
        <w:t xml:space="preserve">typical of monolithic matrices.</w:t>
      </w:r>
    </w:p>
    <w:p>
      <w:pPr>
        <w:pStyle w:val="Compact"/>
        <w:numPr>
          <w:ilvl w:val="0"/>
          <w:numId w:val="1007"/>
        </w:numPr>
      </w:pPr>
      <w:r>
        <w:rPr>
          <w:b/>
          <w:bCs/>
        </w:rPr>
        <w:t xml:space="preserve">Korsmeyer–Peppas:</w:t>
      </w:r>
      <w:r>
        <w:t xml:space="preserve"> </w:t>
      </w:r>
      <w:r>
        <w:t xml:space="preserve">with release exponent n from 0.30 to 1.00.</w:t>
      </w:r>
    </w:p>
    <w:p>
      <w:pPr>
        <w:pStyle w:val="Compact"/>
        <w:numPr>
          <w:ilvl w:val="0"/>
          <w:numId w:val="1007"/>
        </w:numPr>
      </w:pPr>
      <w:r>
        <w:rPr>
          <w:b/>
          <w:bCs/>
        </w:rPr>
        <w:t xml:space="preserve">Hixson–Crowell:</w:t>
      </w:r>
      <w:r>
        <w:t xml:space="preserve"> </w:t>
      </w:r>
      <w:r>
        <w:t xml:space="preserve">cube-root-of-time (erosion-controlled).</w:t>
      </w:r>
    </w:p>
    <w:p>
      <w:pPr>
        <w:pStyle w:val="Compact"/>
        <w:numPr>
          <w:ilvl w:val="0"/>
          <w:numId w:val="1007"/>
        </w:numPr>
      </w:pPr>
      <w:r>
        <w:rPr>
          <w:b/>
          <w:bCs/>
        </w:rPr>
        <w:t xml:space="preserve">Biphasic:</w:t>
      </w:r>
      <w:r>
        <w:t xml:space="preserve"> </w:t>
      </w:r>
      <w:r>
        <w:t xml:space="preserve">initial burst (5–40%) followed by zero- or first-order phase.</w:t>
      </w:r>
    </w:p>
    <w:p>
      <w:pPr>
        <w:pStyle w:val="Compact"/>
        <w:numPr>
          <w:ilvl w:val="0"/>
          <w:numId w:val="1007"/>
        </w:numPr>
      </w:pPr>
      <w:r>
        <w:rPr>
          <w:b/>
          <w:bCs/>
        </w:rPr>
        <w:t xml:space="preserve">Triphasic:</w:t>
      </w:r>
      <w:r>
        <w:t xml:space="preserve"> </w:t>
      </w:r>
      <w:r>
        <w:t xml:space="preserve">lag + sustained + terminal.</w:t>
      </w:r>
    </w:p>
    <w:p>
      <w:pPr>
        <w:pStyle w:val="Compact"/>
        <w:numPr>
          <w:ilvl w:val="0"/>
          <w:numId w:val="1007"/>
        </w:numPr>
      </w:pPr>
      <w:r>
        <w:rPr>
          <w:b/>
          <w:bCs/>
        </w:rPr>
        <w:t xml:space="preserve">Pulsatile:</w:t>
      </w:r>
      <w:r>
        <w:t xml:space="preserve"> </w:t>
      </w:r>
      <w:r>
        <w:t xml:space="preserve">delayed onset followed by burst.</w:t>
      </w:r>
    </w:p>
    <w:p>
      <w:pPr>
        <w:pStyle w:val="Compact"/>
        <w:numPr>
          <w:ilvl w:val="0"/>
          <w:numId w:val="1007"/>
        </w:numPr>
      </w:pPr>
      <w:r>
        <w:rPr>
          <w:b/>
          <w:bCs/>
        </w:rPr>
        <w:t xml:space="preserve">pH-dependent:</w:t>
      </w:r>
      <w:r>
        <w:t xml:space="preserve"> </w:t>
      </w:r>
      <w:r>
        <w:t xml:space="preserve">release rate function of GI pH.</w:t>
      </w:r>
    </w:p>
    <w:p>
      <w:pPr>
        <w:pStyle w:val="Compact"/>
        <w:numPr>
          <w:ilvl w:val="0"/>
          <w:numId w:val="1007"/>
        </w:numPr>
      </w:pPr>
      <w:r>
        <w:rPr>
          <w:b/>
          <w:bCs/>
        </w:rPr>
        <w:t xml:space="preserve">Site-specific:</w:t>
      </w:r>
      <w:r>
        <w:t xml:space="preserve"> </w:t>
      </w:r>
      <w:r>
        <w:t xml:space="preserve">colonic, ileal, gastric, jejunal targeted.</w:t>
      </w:r>
    </w:p>
    <w:p>
      <w:pPr>
        <w:pStyle w:val="FirstParagraph"/>
      </w:pPr>
      <w:r>
        <w:t xml:space="preserve">In vitro dissolution acceptance criteria (USP &lt;711&gt; Apparatus 1, 2, 3, 4, 5, 6, or 7) at any combination of:</w:t>
      </w:r>
    </w:p>
    <w:p>
      <w:pPr>
        <w:pStyle w:val="Compact"/>
        <w:numPr>
          <w:ilvl w:val="0"/>
          <w:numId w:val="1008"/>
        </w:numPr>
      </w:pPr>
      <w:r>
        <w:t xml:space="preserve">Medium: pH 1.2 (0.1 N HCl), pH 4.5 (acetate), pH 6.8 (phosphate), pH 7.4 (phosphate), simulated gastric fluid (with/without enzymes), simulated intestinal fluid (with/without enzymes), FaSSGF, FaSSIF (V1, V2, V3), FeSSGF, FeSSIF (V1, V2, V3), milk, biorelevant media, hydroalcoholic media (5–40% ethanol for in-vitro alcohol dose-dumping testing).</w:t>
      </w:r>
    </w:p>
    <w:p>
      <w:pPr>
        <w:pStyle w:val="Compact"/>
        <w:numPr>
          <w:ilvl w:val="0"/>
          <w:numId w:val="1008"/>
        </w:numPr>
      </w:pPr>
      <w:r>
        <w:t xml:space="preserve">Volume: 100–4000 mL.</w:t>
      </w:r>
    </w:p>
    <w:p>
      <w:pPr>
        <w:pStyle w:val="Compact"/>
        <w:numPr>
          <w:ilvl w:val="0"/>
          <w:numId w:val="1008"/>
        </w:numPr>
      </w:pPr>
      <w:r>
        <w:t xml:space="preserve">Speed: 25–250 rpm (paddle), 50–200 rpm (basket).</w:t>
      </w:r>
    </w:p>
    <w:p>
      <w:pPr>
        <w:pStyle w:val="Compact"/>
        <w:numPr>
          <w:ilvl w:val="0"/>
          <w:numId w:val="1008"/>
        </w:numPr>
      </w:pPr>
      <w:r>
        <w:t xml:space="preserve">Temperature: 37.0 ± 0.5 °C.</w:t>
      </w:r>
    </w:p>
    <w:p>
      <w:pPr>
        <w:pStyle w:val="Compact"/>
        <w:numPr>
          <w:ilvl w:val="0"/>
          <w:numId w:val="1008"/>
        </w:numPr>
      </w:pPr>
      <w:r>
        <w:t xml:space="preserve">Sampling: 5 min through 48 hours.</w:t>
      </w:r>
    </w:p>
    <w:p>
      <w:pPr>
        <w:pStyle w:val="FirstParagraph"/>
      </w:pPr>
      <w:r>
        <w:t xml:space="preserve">Alcohol dose-dumping resistance: lipid matrix compositions disclosed herein are expected to resist accelerated release in 5%, 20%, and 40% ethanol-containing media; this property is expressly disclosed and claimed-to-public-domain.</w:t>
      </w:r>
    </w:p>
    <w:p>
      <w:r>
        <w:pict>
          <v:rect style="width:0;height:1.5pt" o:hralign="center" o:hrstd="t" o:hr="t"/>
        </w:pict>
      </w:r>
    </w:p>
    <w:bookmarkEnd w:id="91"/>
    <w:bookmarkStart w:id="92" w:name="indication-and-patient-population-genus"/>
    <w:p>
      <w:pPr>
        <w:pStyle w:val="Heading2"/>
      </w:pPr>
      <w:r>
        <w:t xml:space="preserve">16. INDICATION AND PATIENT-POPULATION GENUS</w:t>
      </w:r>
    </w:p>
    <w:p>
      <w:pPr>
        <w:pStyle w:val="FirstParagraph"/>
      </w:pPr>
      <w:r>
        <w:t xml:space="preserve">For minoxidil and minoxidil-containing combinations, the disclosed dosage forms are useful in the treatment, prevention, mitigation, or improvement of:</w:t>
      </w:r>
    </w:p>
    <w:p>
      <w:pPr>
        <w:pStyle w:val="BodyText"/>
      </w:pPr>
      <w:r>
        <w:t xml:space="preserve">Androgenetic alopecia (male and female pattern hair loss); telogen effluvium (acute and chronic); alopecia areata (patchy, totalis, universalis, ophiasis, sisaipho); traction alopecia; central centrifugal cicatricial alopecia (CCCA); frontal fibrosing alopecia (FFA); lichen planopilaris (LPP); folliculitis decalvans; dissecting cellulitis of the scalp; trichotillomania-associated regrowth support; chemotherapy-induced alopecia (CIA), including persistent CIA; radiation-induced alopecia; postpartum hair loss; menopausal hair thinning; eyebrow hypotrichosis; eyelash hypotrichosis (where lipid-matrix is adapted for ophthalmic-adjacent use); beard density enhancement; body hair restoration; hair-loss in patients with thyroid dysfunction, iron deficiency, vitamin D deficiency, PCOS, or post-bariatric-surgery; hair-loss in transgender patients on hormone therapy; pediatric alopecia; geriatric senile alopecia.</w:t>
      </w:r>
    </w:p>
    <w:p>
      <w:pPr>
        <w:pStyle w:val="BodyText"/>
      </w:pPr>
      <w:r>
        <w:t xml:space="preserve">Patient populations expressly disclosed include: adult (18+); adolescent (12–17); pediatric (1 month–11 years); geriatric (65+ and 75+); pregnant; lactating; patients with hepatic impairment (Child-Pugh A, B, C); patients with renal impairment (eGFR &lt;90, &lt;60, &lt;30, dialysis); patients of any genetic background; CYP2D6/CYP3A4/CYP2C9/CYP2C19 poor, intermediate, extensive, or ultra-rapid metabolizers; patients on concomitant medications including the cytochrome inhibitors and inducers commonly co-administered with the disclosed APIs.</w:t>
      </w:r>
    </w:p>
    <w:p>
      <w:pPr>
        <w:pStyle w:val="BodyText"/>
      </w:pPr>
      <w:r>
        <w:t xml:space="preserve">For non-minoxidil APIs in §10, the disclosed dosage forms are useful for any indication for which the API is approved or under investigation, with all standard patient populations expressly disclosed.</w:t>
      </w:r>
    </w:p>
    <w:p>
      <w:r>
        <w:pict>
          <v:rect style="width:0;height:1.5pt" o:hralign="center" o:hrstd="t" o:hr="t"/>
        </w:pict>
      </w:r>
    </w:p>
    <w:bookmarkEnd w:id="92"/>
    <w:bookmarkStart w:id="93" w:name="enumerated-embodiments"/>
    <w:p>
      <w:pPr>
        <w:pStyle w:val="Heading2"/>
      </w:pPr>
      <w:r>
        <w:t xml:space="preserve">17. ENUMERATED EMBODIMENTS</w:t>
      </w:r>
    </w:p>
    <w:p>
      <w:pPr>
        <w:pStyle w:val="FirstParagraph"/>
      </w:pPr>
      <w:r>
        <w:t xml:space="preserve">Each numbered paragraph below is independently disclosed as an embodiment for the purpose of establishing prior art. Any combination of two or more enumerated embodiments is also expressly disclosed.</w:t>
      </w:r>
    </w:p>
    <w:p>
      <w:pPr>
        <w:pStyle w:val="BodyText"/>
      </w:pPr>
      <w:r>
        <w:rPr>
          <w:b/>
          <w:bCs/>
        </w:rPr>
        <w:t xml:space="preserve">E1.</w:t>
      </w:r>
      <w:r>
        <w:t xml:space="preserve"> </w:t>
      </w:r>
      <w:r>
        <w:t xml:space="preserve">A pharmaceutical composition comprising minoxidil and a lipid matrix former selected from §5, in a unit dose of 0.1 to 50 mg minoxidil and a lipid matrix former content of 5 to 95% w/w.</w:t>
      </w:r>
    </w:p>
    <w:p>
      <w:pPr>
        <w:pStyle w:val="BodyText"/>
      </w:pPr>
      <w:r>
        <w:rPr>
          <w:b/>
          <w:bCs/>
        </w:rPr>
        <w:t xml:space="preserve">E2.</w:t>
      </w:r>
      <w:r>
        <w:t xml:space="preserve"> </w:t>
      </w:r>
      <w:r>
        <w:t xml:space="preserve">The composition of E1, wherein the lipid matrix former is glyceryl behenate, glyceryl palmitostearate, hydrogenated castor oil, hydrogenated vegetable oil, carnauba wax, beeswax, candelilla wax, stearic acid, cetyl alcohol, stearyl alcohol, Gelucire 50/13, Gelucire 43/01, glyceryl monostearate, or any mixture of two or more of the foregoing.</w:t>
      </w:r>
    </w:p>
    <w:p>
      <w:pPr>
        <w:pStyle w:val="BodyText"/>
      </w:pPr>
      <w:r>
        <w:rPr>
          <w:b/>
          <w:bCs/>
        </w:rPr>
        <w:t xml:space="preserve">E3.</w:t>
      </w:r>
      <w:r>
        <w:t xml:space="preserve"> </w:t>
      </w:r>
      <w:r>
        <w:t xml:space="preserve">The composition of E1, wherein the lipid matrix former is present at 20–80% w/w, preferably 30–70%, most preferably 40–60%.</w:t>
      </w:r>
    </w:p>
    <w:p>
      <w:pPr>
        <w:pStyle w:val="BodyText"/>
      </w:pPr>
      <w:r>
        <w:rPr>
          <w:b/>
          <w:bCs/>
        </w:rPr>
        <w:t xml:space="preserve">E4.</w:t>
      </w:r>
      <w:r>
        <w:t xml:space="preserve"> </w:t>
      </w:r>
      <w:r>
        <w:t xml:space="preserve">The composition of any of E1–E3, further comprising a release-modifying excipient selected from §6 at 0.5–40% w/w.</w:t>
      </w:r>
    </w:p>
    <w:p>
      <w:pPr>
        <w:pStyle w:val="BodyText"/>
      </w:pPr>
      <w:r>
        <w:rPr>
          <w:b/>
          <w:bCs/>
        </w:rPr>
        <w:t xml:space="preserve">E5.</w:t>
      </w:r>
      <w:r>
        <w:t xml:space="preserve"> </w:t>
      </w:r>
      <w:r>
        <w:t xml:space="preserve">The composition of any of E1–E4, further comprising a surfactant selected from §7 at 0.1–15% w/w.</w:t>
      </w:r>
    </w:p>
    <w:p>
      <w:pPr>
        <w:pStyle w:val="BodyText"/>
      </w:pPr>
      <w:r>
        <w:rPr>
          <w:b/>
          <w:bCs/>
        </w:rPr>
        <w:t xml:space="preserve">E6.</w:t>
      </w:r>
      <w:r>
        <w:t xml:space="preserve"> </w:t>
      </w:r>
      <w:r>
        <w:t xml:space="preserve">The composition of any of E1–E5, further comprising a filler selected from §8 at 5–60% w/w.</w:t>
      </w:r>
    </w:p>
    <w:p>
      <w:pPr>
        <w:pStyle w:val="BodyText"/>
      </w:pPr>
      <w:r>
        <w:rPr>
          <w:b/>
          <w:bCs/>
        </w:rPr>
        <w:t xml:space="preserve">E7.</w:t>
      </w:r>
      <w:r>
        <w:t xml:space="preserve"> </w:t>
      </w:r>
      <w:r>
        <w:t xml:space="preserve">The composition of any of E1–E6, further comprising a lubricant selected from §9 at 0.1–5% w/w.</w:t>
      </w:r>
    </w:p>
    <w:p>
      <w:pPr>
        <w:pStyle w:val="BodyText"/>
      </w:pPr>
      <w:r>
        <w:rPr>
          <w:b/>
          <w:bCs/>
        </w:rPr>
        <w:t xml:space="preserve">E8.</w:t>
      </w:r>
      <w:r>
        <w:t xml:space="preserve"> </w:t>
      </w:r>
      <w:r>
        <w:t xml:space="preserve">The composition of any of E1–E7, in a tablet, capsule, mini-tablet, multi-particulate, sachet, sprinkle, ODT, or sublingual form per §13.</w:t>
      </w:r>
    </w:p>
    <w:p>
      <w:pPr>
        <w:pStyle w:val="BodyText"/>
      </w:pPr>
      <w:r>
        <w:rPr>
          <w:b/>
          <w:bCs/>
        </w:rPr>
        <w:t xml:space="preserve">E9.</w:t>
      </w:r>
      <w:r>
        <w:t xml:space="preserve"> </w:t>
      </w:r>
      <w:r>
        <w:t xml:space="preserve">The composition of any of E1–E8, manufactured by melt granulation, hot-melt extrusion, spray congealing, melt pelletization, spray drying with lipid carrier, solvent evaporation, supercritical fluid processing, coacervation, cryogenic milling, direct compression, wet granulation with molten lipid binder, or 3D printing per §12.</w:t>
      </w:r>
    </w:p>
    <w:p>
      <w:pPr>
        <w:pStyle w:val="BodyText"/>
      </w:pPr>
      <w:r>
        <w:rPr>
          <w:b/>
          <w:bCs/>
        </w:rPr>
        <w:t xml:space="preserve">E10.</w:t>
      </w:r>
      <w:r>
        <w:t xml:space="preserve"> </w:t>
      </w:r>
      <w:r>
        <w:t xml:space="preserve">The composition of any of E1–E9, providing a Cmax of 1–30 ng/mL, Tmax of 1–8 hours, and effective half-life ≥6 hours after a single dose in a fasted human adult.</w:t>
      </w:r>
    </w:p>
    <w:p>
      <w:pPr>
        <w:pStyle w:val="BodyText"/>
      </w:pPr>
      <w:r>
        <w:rPr>
          <w:b/>
          <w:bCs/>
        </w:rPr>
        <w:t xml:space="preserve">E11.</w:t>
      </w:r>
      <w:r>
        <w:t xml:space="preserve"> </w:t>
      </w:r>
      <w:r>
        <w:t xml:space="preserve">The composition of any of E1–E10, exhibiting an in vitro dissolution profile in USP Apparatus 2 / 50 rpm / 900 mL pH 6.8 phosphate buffer / 37 °C of 10–25% at 1 hour, 20–40% at 2 hours, 35–60% at 4 hours, 55–80% at 8 hours, ≥80% at 12 hours.</w:t>
      </w:r>
    </w:p>
    <w:p>
      <w:pPr>
        <w:pStyle w:val="BodyText"/>
      </w:pPr>
      <w:r>
        <w:rPr>
          <w:b/>
          <w:bCs/>
        </w:rPr>
        <w:t xml:space="preserve">E12.</w:t>
      </w:r>
      <w:r>
        <w:t xml:space="preserve"> </w:t>
      </w:r>
      <w:r>
        <w:t xml:space="preserve">The composition of any of E1–E11, further comprising a second API selected from §10, in a single lipid matrix phase or in a separate phase of a multilayer or multi-particulate dosage form.</w:t>
      </w:r>
    </w:p>
    <w:p>
      <w:pPr>
        <w:pStyle w:val="BodyText"/>
      </w:pPr>
      <w:r>
        <w:rPr>
          <w:b/>
          <w:bCs/>
        </w:rPr>
        <w:t xml:space="preserve">E13.</w:t>
      </w:r>
      <w:r>
        <w:t xml:space="preserve"> </w:t>
      </w:r>
      <w:r>
        <w:t xml:space="preserve">The composition of E12, wherein the second API is finasteride, dutasteride, spironolactone, bimatoprost, latanoprost, ketoconazole, ritlecitinib, ruxolitinib, baricitinib, tofacitinib, clascoterone, RU58841, pyrilutamide, caffeine, adenosine, or any combination thereof.</w:t>
      </w:r>
    </w:p>
    <w:p>
      <w:pPr>
        <w:pStyle w:val="BodyText"/>
      </w:pPr>
      <w:r>
        <w:rPr>
          <w:b/>
          <w:bCs/>
        </w:rPr>
        <w:t xml:space="preserve">E14.</w:t>
      </w:r>
      <w:r>
        <w:t xml:space="preserve"> </w:t>
      </w:r>
      <w:r>
        <w:t xml:space="preserve">A method of treating hair loss in a human subject comprising administering to the subject the composition of any of E1–E13, once daily, twice daily, every 12 hours, every 24 hours, or as needed.</w:t>
      </w:r>
    </w:p>
    <w:p>
      <w:pPr>
        <w:pStyle w:val="BodyText"/>
      </w:pPr>
      <w:r>
        <w:rPr>
          <w:b/>
          <w:bCs/>
        </w:rPr>
        <w:t xml:space="preserve">E15.</w:t>
      </w:r>
      <w:r>
        <w:t xml:space="preserve"> </w:t>
      </w:r>
      <w:r>
        <w:t xml:space="preserve">The method of E14, wherein the hair loss is androgenetic alopecia, telogen effluvium, alopecia areata, scarring alopecia, chemotherapy-induced alopecia, postpartum hair loss, or any indication listed in §16.</w:t>
      </w:r>
    </w:p>
    <w:p>
      <w:pPr>
        <w:pStyle w:val="BodyText"/>
      </w:pPr>
      <w:r>
        <w:rPr>
          <w:b/>
          <w:bCs/>
        </w:rPr>
        <w:t xml:space="preserve">E16.</w:t>
      </w:r>
      <w:r>
        <w:t xml:space="preserve"> </w:t>
      </w:r>
      <w:r>
        <w:t xml:space="preserve">A composition replacing minoxidil in any of E1–E15 with any single API or API combination listed in §10.</w:t>
      </w:r>
    </w:p>
    <w:p>
      <w:pPr>
        <w:pStyle w:val="BodyText"/>
      </w:pPr>
      <w:r>
        <w:rPr>
          <w:b/>
          <w:bCs/>
        </w:rPr>
        <w:t xml:space="preserve">E17.</w:t>
      </w:r>
      <w:r>
        <w:t xml:space="preserve"> </w:t>
      </w:r>
      <w:r>
        <w:t xml:space="preserve">The composition of any of E1–E16, further comprising a functional or non-functional coating per §13.8.</w:t>
      </w:r>
    </w:p>
    <w:p>
      <w:pPr>
        <w:pStyle w:val="BodyText"/>
      </w:pPr>
      <w:r>
        <w:rPr>
          <w:b/>
          <w:bCs/>
        </w:rPr>
        <w:t xml:space="preserve">E18.</w:t>
      </w:r>
      <w:r>
        <w:t xml:space="preserve"> </w:t>
      </w:r>
      <w:r>
        <w:t xml:space="preserve">The composition of any of E1–E16, in the form of a sublingual or buccal lipid-matrix tablet or film providing systemic delivery while bypassing first-pass hepatic metabolism.</w:t>
      </w:r>
    </w:p>
    <w:p>
      <w:pPr>
        <w:pStyle w:val="BodyText"/>
      </w:pPr>
      <w:r>
        <w:rPr>
          <w:b/>
          <w:bCs/>
        </w:rPr>
        <w:t xml:space="preserve">E19.</w:t>
      </w:r>
      <w:r>
        <w:t xml:space="preserve"> </w:t>
      </w:r>
      <w:r>
        <w:t xml:space="preserve">The composition of any of E1–E16, in the form of a chewable lipid-matrix tablet or gummy that disintegrates to release intact lipid-matrix microparticles into the GI tract.</w:t>
      </w:r>
    </w:p>
    <w:p>
      <w:pPr>
        <w:pStyle w:val="BodyText"/>
      </w:pPr>
      <w:r>
        <w:rPr>
          <w:b/>
          <w:bCs/>
        </w:rPr>
        <w:t xml:space="preserve">E20.</w:t>
      </w:r>
      <w:r>
        <w:t xml:space="preserve"> </w:t>
      </w:r>
      <w:r>
        <w:t xml:space="preserve">The composition of any of E1–E16, in the form of a sprinkle capsule or sachet that releases lipid-matrix multi-particulates onto food.</w:t>
      </w:r>
    </w:p>
    <w:p>
      <w:pPr>
        <w:pStyle w:val="BodyText"/>
      </w:pPr>
      <w:r>
        <w:rPr>
          <w:b/>
          <w:bCs/>
        </w:rPr>
        <w:t xml:space="preserve">E21.</w:t>
      </w:r>
      <w:r>
        <w:t xml:space="preserve"> </w:t>
      </w:r>
      <w:r>
        <w:t xml:space="preserve">The composition of any of E1–E16, wherein the lipid matrix further comprises a solid-state stabilizer (cyclodextrin, mesoporous silica, polymeric carrier, co-former, surfactant) preventing API recrystallization or polymorphic conversion during storage.</w:t>
      </w:r>
    </w:p>
    <w:p>
      <w:pPr>
        <w:pStyle w:val="BodyText"/>
      </w:pPr>
      <w:r>
        <w:rPr>
          <w:b/>
          <w:bCs/>
        </w:rPr>
        <w:t xml:space="preserve">E22.</w:t>
      </w:r>
      <w:r>
        <w:t xml:space="preserve"> </w:t>
      </w:r>
      <w:r>
        <w:t xml:space="preserve">The composition of any of E1–E16, exhibiting alcohol dose-dumping resistance defined as ≤30% increase in 4-hour dissolution in 40% ethanol-containing medium relative to aqueous medium.</w:t>
      </w:r>
    </w:p>
    <w:p>
      <w:pPr>
        <w:pStyle w:val="BodyText"/>
      </w:pPr>
      <w:r>
        <w:rPr>
          <w:b/>
          <w:bCs/>
        </w:rPr>
        <w:t xml:space="preserve">E23.</w:t>
      </w:r>
      <w:r>
        <w:t xml:space="preserve"> </w:t>
      </w:r>
      <w:r>
        <w:t xml:space="preserve">The composition of any of E1–E16, exhibiting a fed/fasted Cmax ratio between 0.7 and 1.4.</w:t>
      </w:r>
    </w:p>
    <w:p>
      <w:pPr>
        <w:pStyle w:val="BodyText"/>
      </w:pPr>
      <w:r>
        <w:rPr>
          <w:b/>
          <w:bCs/>
        </w:rPr>
        <w:t xml:space="preserve">E24.</w:t>
      </w:r>
      <w:r>
        <w:t xml:space="preserve"> </w:t>
      </w:r>
      <w:r>
        <w:t xml:space="preserve">The composition of any of E1–E16, manufactured at scales from 100 g (laboratory) to 10,000 kg (commercial production), with all intermediate scales expressly disclosed.</w:t>
      </w:r>
    </w:p>
    <w:p>
      <w:pPr>
        <w:pStyle w:val="BodyText"/>
      </w:pPr>
      <w:r>
        <w:rPr>
          <w:b/>
          <w:bCs/>
        </w:rPr>
        <w:t xml:space="preserve">E25.</w:t>
      </w:r>
      <w:r>
        <w:t xml:space="preserve"> </w:t>
      </w:r>
      <w:r>
        <w:t xml:space="preserve">A kit comprising the composition of any of E1–E16 and instructions for use, optionally with a second pharmaceutical product, a hair-care product, or a diagnostic device.</w:t>
      </w:r>
    </w:p>
    <w:p>
      <w:r>
        <w:pict>
          <v:rect style="width:0;height:1.5pt" o:hralign="center" o:hrstd="t" o:hr="t"/>
        </w:pict>
      </w:r>
    </w:p>
    <w:bookmarkEnd w:id="93"/>
    <w:bookmarkStart w:id="106" w:name="worked-examples"/>
    <w:p>
      <w:pPr>
        <w:pStyle w:val="Heading2"/>
      </w:pPr>
      <w:r>
        <w:t xml:space="preserve">18. WORKED EXAMPLES</w:t>
      </w:r>
    </w:p>
    <w:p>
      <w:pPr>
        <w:pStyle w:val="FirstParagraph"/>
      </w:pPr>
      <w:r>
        <w:t xml:space="preserve">The following worked examples are presented to satisfy the enablement requirement for the broad genus disclosed above. Each example is independently enabling. All percentages are weight/weight (w/w) of the total composition unless otherwise stated.</w:t>
      </w:r>
    </w:p>
    <w:bookmarkStart w:id="94" w:name="Xff761b1d82a5dd6f9ff92d8d7aa4c7c354c413f"/>
    <w:p>
      <w:pPr>
        <w:pStyle w:val="Heading3"/>
      </w:pPr>
      <w:r>
        <w:t xml:space="preserve">Example A — Glyceryl behenate / palmitostearate matrix (primary embodiment, recapitulated)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8.5</w:t>
            </w:r>
          </w:p>
        </w:tc>
        <w:tc>
          <w:tcPr/>
          <w:p>
            <w:pPr>
              <w:pStyle w:val="Compact"/>
            </w:pPr>
            <w:r>
              <w:t xml:space="preserve">3.4</w:t>
            </w:r>
          </w:p>
        </w:tc>
      </w:tr>
      <w:tr>
        <w:tc>
          <w:tcPr/>
          <w:p>
            <w:pPr>
              <w:pStyle w:val="Compact"/>
            </w:pPr>
            <w:r>
              <w:t xml:space="preserve">Glyceryl behenate (Compritol 888 ATO)</w:t>
            </w:r>
          </w:p>
        </w:tc>
        <w:tc>
          <w:tcPr/>
          <w:p>
            <w:pPr>
              <w:pStyle w:val="Compact"/>
            </w:pPr>
            <w:r>
              <w:t xml:space="preserve">112.5</w:t>
            </w:r>
          </w:p>
        </w:tc>
        <w:tc>
          <w:tcPr/>
          <w:p>
            <w:pPr>
              <w:pStyle w:val="Compact"/>
            </w:pPr>
            <w:r>
              <w:t xml:space="preserve">45.0</w:t>
            </w:r>
          </w:p>
        </w:tc>
      </w:tr>
      <w:tr>
        <w:tc>
          <w:tcPr/>
          <w:p>
            <w:pPr>
              <w:pStyle w:val="Compact"/>
            </w:pPr>
            <w:r>
              <w:t xml:space="preserve">Glyceryl palmitostearate (Precirol ATO 5)</w:t>
            </w:r>
          </w:p>
        </w:tc>
        <w:tc>
          <w:tcPr/>
          <w:p>
            <w:pPr>
              <w:pStyle w:val="Compact"/>
            </w:pPr>
            <w:r>
              <w:t xml:space="preserve">30.0</w:t>
            </w:r>
          </w:p>
        </w:tc>
        <w:tc>
          <w:tcPr/>
          <w:p>
            <w:pPr>
              <w:pStyle w:val="Compact"/>
            </w:pPr>
            <w:r>
              <w:t xml:space="preserve">12.0</w:t>
            </w:r>
          </w:p>
        </w:tc>
      </w:tr>
      <w:tr>
        <w:tc>
          <w:tcPr/>
          <w:p>
            <w:pPr>
              <w:pStyle w:val="Compact"/>
            </w:pPr>
            <w:r>
              <w:t xml:space="preserve">PEG 6000</w:t>
            </w:r>
          </w:p>
        </w:tc>
        <w:tc>
          <w:tcPr/>
          <w:p>
            <w:pPr>
              <w:pStyle w:val="Compact"/>
            </w:pPr>
            <w:r>
              <w:t xml:space="preserve">12.5</w:t>
            </w:r>
          </w:p>
        </w:tc>
        <w:tc>
          <w:tcPr/>
          <w:p>
            <w:pPr>
              <w:pStyle w:val="Compact"/>
            </w:pPr>
            <w:r>
              <w:t xml:space="preserve">5.0</w:t>
            </w:r>
          </w:p>
        </w:tc>
      </w:tr>
      <w:tr>
        <w:tc>
          <w:tcPr/>
          <w:p>
            <w:pPr>
              <w:pStyle w:val="Compact"/>
            </w:pPr>
            <w:r>
              <w:t xml:space="preserve">Microcrystalline cellulose (PH-101)</w:t>
            </w:r>
          </w:p>
        </w:tc>
        <w:tc>
          <w:tcPr/>
          <w:p>
            <w:pPr>
              <w:pStyle w:val="Compact"/>
            </w:pPr>
            <w:r>
              <w:t xml:space="preserve">55.0</w:t>
            </w:r>
          </w:p>
        </w:tc>
        <w:tc>
          <w:tcPr/>
          <w:p>
            <w:pPr>
              <w:pStyle w:val="Compact"/>
            </w:pPr>
            <w:r>
              <w:t xml:space="preserve">22.0</w:t>
            </w:r>
          </w:p>
        </w:tc>
      </w:tr>
      <w:tr>
        <w:tc>
          <w:tcPr/>
          <w:p>
            <w:pPr>
              <w:pStyle w:val="Compact"/>
            </w:pPr>
            <w:r>
              <w:t xml:space="preserve">Lactose monohydrate</w:t>
            </w:r>
          </w:p>
        </w:tc>
        <w:tc>
          <w:tcPr/>
          <w:p>
            <w:pPr>
              <w:pStyle w:val="Compact"/>
            </w:pPr>
            <w:r>
              <w:t xml:space="preserve">17.5</w:t>
            </w:r>
          </w:p>
        </w:tc>
        <w:tc>
          <w:tcPr/>
          <w:p>
            <w:pPr>
              <w:pStyle w:val="Compact"/>
            </w:pPr>
            <w:r>
              <w:t xml:space="preserve">7.0</w:t>
            </w:r>
          </w:p>
        </w:tc>
      </w:tr>
      <w:tr>
        <w:tc>
          <w:tcPr/>
          <w:p>
            <w:pPr>
              <w:pStyle w:val="Compact"/>
            </w:pPr>
            <w:r>
              <w:t xml:space="preserve">Poloxamer 188</w:t>
            </w:r>
          </w:p>
        </w:tc>
        <w:tc>
          <w:tcPr/>
          <w:p>
            <w:pPr>
              <w:pStyle w:val="Compact"/>
            </w:pPr>
            <w:r>
              <w:t xml:space="preserve">3.75</w:t>
            </w:r>
          </w:p>
        </w:tc>
        <w:tc>
          <w:tcPr/>
          <w:p>
            <w:pPr>
              <w:pStyle w:val="Compact"/>
            </w:pPr>
            <w:r>
              <w:t xml:space="preserve">1.5</w:t>
            </w:r>
          </w:p>
        </w:tc>
      </w:tr>
      <w:tr>
        <w:tc>
          <w:tcPr/>
          <w:p>
            <w:pPr>
              <w:pStyle w:val="Compact"/>
            </w:pPr>
            <w:r>
              <w:t xml:space="preserve">Colloidal silicon dioxide</w:t>
            </w:r>
          </w:p>
        </w:tc>
        <w:tc>
          <w:tcPr/>
          <w:p>
            <w:pPr>
              <w:pStyle w:val="Compact"/>
            </w:pPr>
            <w:r>
              <w:t xml:space="preserve">5.0</w:t>
            </w:r>
          </w:p>
        </w:tc>
        <w:tc>
          <w:tcPr/>
          <w:p>
            <w:pPr>
              <w:pStyle w:val="Compact"/>
            </w:pPr>
            <w:r>
              <w:t xml:space="preserve">2.0</w:t>
            </w:r>
          </w:p>
        </w:tc>
      </w:tr>
      <w:tr>
        <w:tc>
          <w:tcPr/>
          <w:p>
            <w:pPr>
              <w:pStyle w:val="Compact"/>
            </w:pPr>
            <w:r>
              <w:t xml:space="preserve">Magnesium stearate</w:t>
            </w:r>
          </w:p>
        </w:tc>
        <w:tc>
          <w:tcPr/>
          <w:p>
            <w:pPr>
              <w:pStyle w:val="Compact"/>
            </w:pPr>
            <w:r>
              <w:t xml:space="preserve">5.25</w:t>
            </w:r>
          </w:p>
        </w:tc>
        <w:tc>
          <w:tcPr/>
          <w:p>
            <w:pPr>
              <w:pStyle w:val="Compact"/>
            </w:pPr>
            <w:r>
              <w:t xml:space="preserve">2.1</w:t>
            </w:r>
          </w:p>
        </w:tc>
      </w:tr>
      <w:tr>
        <w:tc>
          <w:tcPr/>
          <w:p>
            <w:pPr>
              <w:pStyle w:val="Compact"/>
            </w:pPr>
            <w:r>
              <w:rPr>
                <w:b/>
                <w:bCs/>
              </w:rPr>
              <w:t xml:space="preserve">Total</w:t>
            </w:r>
          </w:p>
        </w:tc>
        <w:tc>
          <w:tcPr/>
          <w:p>
            <w:pPr>
              <w:pStyle w:val="Compact"/>
            </w:pPr>
            <w:r>
              <w:rPr>
                <w:b/>
                <w:bCs/>
              </w:rPr>
              <w:t xml:space="preserve">250.0</w:t>
            </w:r>
          </w:p>
        </w:tc>
        <w:tc>
          <w:tcPr/>
          <w:p>
            <w:pPr>
              <w:pStyle w:val="Compact"/>
            </w:pPr>
            <w:r>
              <w:rPr>
                <w:b/>
                <w:bCs/>
              </w:rPr>
              <w:t xml:space="preserve">100.0</w:t>
            </w:r>
          </w:p>
        </w:tc>
      </w:tr>
    </w:tbl>
    <w:p>
      <w:pPr>
        <w:pStyle w:val="BodyText"/>
      </w:pPr>
      <w:r>
        <w:t xml:space="preserve">Manufacture by melt granulation per §12.1: melt lipids at 75 ± 2 °C, blend in API at 75 °C for 5 min, add fillers, cool to 40–45 °C, granulate through 850 μm screen, lubricate, compress to 250 mg tablets at 6–10 kP. Optional anneal 50 °C / 24 h.</w:t>
      </w:r>
    </w:p>
    <w:bookmarkEnd w:id="94"/>
    <w:bookmarkStart w:id="95" w:name="X9d10c84717ae4bdc7d08929a1964c7e25aac266"/>
    <w:p>
      <w:pPr>
        <w:pStyle w:val="Heading3"/>
      </w:pPr>
      <w:r>
        <w:t xml:space="preserve">Example B — Hydrogenated castor oil / carnauba wax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8.5</w:t>
            </w:r>
          </w:p>
        </w:tc>
        <w:tc>
          <w:tcPr/>
          <w:p>
            <w:pPr>
              <w:pStyle w:val="Compact"/>
            </w:pPr>
            <w:r>
              <w:t xml:space="preserve">2.83</w:t>
            </w:r>
          </w:p>
        </w:tc>
      </w:tr>
      <w:tr>
        <w:tc>
          <w:tcPr/>
          <w:p>
            <w:pPr>
              <w:pStyle w:val="Compact"/>
            </w:pPr>
            <w:r>
              <w:t xml:space="preserve">Hydrogenated castor oil (Cutina HR)</w:t>
            </w:r>
          </w:p>
        </w:tc>
        <w:tc>
          <w:tcPr/>
          <w:p>
            <w:pPr>
              <w:pStyle w:val="Compact"/>
            </w:pPr>
            <w:r>
              <w:t xml:space="preserve">150.0</w:t>
            </w:r>
          </w:p>
        </w:tc>
        <w:tc>
          <w:tcPr/>
          <w:p>
            <w:pPr>
              <w:pStyle w:val="Compact"/>
            </w:pPr>
            <w:r>
              <w:t xml:space="preserve">50.0</w:t>
            </w:r>
          </w:p>
        </w:tc>
      </w:tr>
      <w:tr>
        <w:tc>
          <w:tcPr/>
          <w:p>
            <w:pPr>
              <w:pStyle w:val="Compact"/>
            </w:pPr>
            <w:r>
              <w:t xml:space="preserve">Carnauba wax</w:t>
            </w:r>
          </w:p>
        </w:tc>
        <w:tc>
          <w:tcPr/>
          <w:p>
            <w:pPr>
              <w:pStyle w:val="Compact"/>
            </w:pPr>
            <w:r>
              <w:t xml:space="preserve">30.0</w:t>
            </w:r>
          </w:p>
        </w:tc>
        <w:tc>
          <w:tcPr/>
          <w:p>
            <w:pPr>
              <w:pStyle w:val="Compact"/>
            </w:pPr>
            <w:r>
              <w:t xml:space="preserve">10.0</w:t>
            </w:r>
          </w:p>
        </w:tc>
      </w:tr>
      <w:tr>
        <w:tc>
          <w:tcPr/>
          <w:p>
            <w:pPr>
              <w:pStyle w:val="Compact"/>
            </w:pPr>
            <w:r>
              <w:t xml:space="preserve">PEG 4000</w:t>
            </w:r>
          </w:p>
        </w:tc>
        <w:tc>
          <w:tcPr/>
          <w:p>
            <w:pPr>
              <w:pStyle w:val="Compact"/>
            </w:pPr>
            <w:r>
              <w:t xml:space="preserve">15.0</w:t>
            </w:r>
          </w:p>
        </w:tc>
        <w:tc>
          <w:tcPr/>
          <w:p>
            <w:pPr>
              <w:pStyle w:val="Compact"/>
            </w:pPr>
            <w:r>
              <w:t xml:space="preserve">5.0</w:t>
            </w:r>
          </w:p>
        </w:tc>
      </w:tr>
      <w:tr>
        <w:tc>
          <w:tcPr/>
          <w:p>
            <w:pPr>
              <w:pStyle w:val="Compact"/>
            </w:pPr>
            <w:r>
              <w:t xml:space="preserve">Mannitol (Pearlitol 200SD)</w:t>
            </w:r>
          </w:p>
        </w:tc>
        <w:tc>
          <w:tcPr/>
          <w:p>
            <w:pPr>
              <w:pStyle w:val="Compact"/>
            </w:pPr>
            <w:r>
              <w:t xml:space="preserve">60.0</w:t>
            </w:r>
          </w:p>
        </w:tc>
        <w:tc>
          <w:tcPr/>
          <w:p>
            <w:pPr>
              <w:pStyle w:val="Compact"/>
            </w:pPr>
            <w:r>
              <w:t xml:space="preserve">20.0</w:t>
            </w:r>
          </w:p>
        </w:tc>
      </w:tr>
      <w:tr>
        <w:tc>
          <w:tcPr/>
          <w:p>
            <w:pPr>
              <w:pStyle w:val="Compact"/>
            </w:pPr>
            <w:r>
              <w:t xml:space="preserve">Microcrystalline cellulose (PH-102)</w:t>
            </w:r>
          </w:p>
        </w:tc>
        <w:tc>
          <w:tcPr/>
          <w:p>
            <w:pPr>
              <w:pStyle w:val="Compact"/>
            </w:pPr>
            <w:r>
              <w:t xml:space="preserve">24.0</w:t>
            </w:r>
          </w:p>
        </w:tc>
        <w:tc>
          <w:tcPr/>
          <w:p>
            <w:pPr>
              <w:pStyle w:val="Compact"/>
            </w:pPr>
            <w:r>
              <w:t xml:space="preserve">8.0</w:t>
            </w:r>
          </w:p>
        </w:tc>
      </w:tr>
      <w:tr>
        <w:tc>
          <w:tcPr/>
          <w:p>
            <w:pPr>
              <w:pStyle w:val="Compact"/>
            </w:pPr>
            <w:r>
              <w:t xml:space="preserve">Polysorbate 80</w:t>
            </w:r>
          </w:p>
        </w:tc>
        <w:tc>
          <w:tcPr/>
          <w:p>
            <w:pPr>
              <w:pStyle w:val="Compact"/>
            </w:pPr>
            <w:r>
              <w:t xml:space="preserve">6.0</w:t>
            </w:r>
          </w:p>
        </w:tc>
        <w:tc>
          <w:tcPr/>
          <w:p>
            <w:pPr>
              <w:pStyle w:val="Compact"/>
            </w:pPr>
            <w:r>
              <w:t xml:space="preserve">2.0</w:t>
            </w:r>
          </w:p>
        </w:tc>
      </w:tr>
      <w:tr>
        <w:tc>
          <w:tcPr/>
          <w:p>
            <w:pPr>
              <w:pStyle w:val="Compact"/>
            </w:pPr>
            <w:r>
              <w:t xml:space="preserve">Colloidal silicon dioxide</w:t>
            </w:r>
          </w:p>
        </w:tc>
        <w:tc>
          <w:tcPr/>
          <w:p>
            <w:pPr>
              <w:pStyle w:val="Compact"/>
            </w:pPr>
            <w:r>
              <w:t xml:space="preserve">4.5</w:t>
            </w:r>
          </w:p>
        </w:tc>
        <w:tc>
          <w:tcPr/>
          <w:p>
            <w:pPr>
              <w:pStyle w:val="Compact"/>
            </w:pPr>
            <w:r>
              <w:t xml:space="preserve">1.5</w:t>
            </w:r>
          </w:p>
        </w:tc>
      </w:tr>
      <w:tr>
        <w:tc>
          <w:tcPr/>
          <w:p>
            <w:pPr>
              <w:pStyle w:val="Compact"/>
            </w:pPr>
            <w:r>
              <w:t xml:space="preserve">Sodium stearyl fumarate</w:t>
            </w:r>
          </w:p>
        </w:tc>
        <w:tc>
          <w:tcPr/>
          <w:p>
            <w:pPr>
              <w:pStyle w:val="Compact"/>
            </w:pPr>
            <w:r>
              <w:t xml:space="preserve">2.0</w:t>
            </w:r>
          </w:p>
        </w:tc>
        <w:tc>
          <w:tcPr/>
          <w:p>
            <w:pPr>
              <w:pStyle w:val="Compact"/>
            </w:pPr>
            <w:r>
              <w:t xml:space="preserve">0.67</w:t>
            </w:r>
          </w:p>
        </w:tc>
      </w:tr>
      <w:tr>
        <w:tc>
          <w:tcPr/>
          <w:p>
            <w:pPr>
              <w:pStyle w:val="Compact"/>
            </w:pPr>
            <w:r>
              <w:rPr>
                <w:b/>
                <w:bCs/>
              </w:rPr>
              <w:t xml:space="preserve">Total</w:t>
            </w:r>
          </w:p>
        </w:tc>
        <w:tc>
          <w:tcPr/>
          <w:p>
            <w:pPr>
              <w:pStyle w:val="Compact"/>
            </w:pPr>
            <w:r>
              <w:rPr>
                <w:b/>
                <w:bCs/>
              </w:rPr>
              <w:t xml:space="preserve">300.0</w:t>
            </w:r>
          </w:p>
        </w:tc>
        <w:tc>
          <w:tcPr/>
          <w:p>
            <w:pPr>
              <w:pStyle w:val="Compact"/>
            </w:pPr>
            <w:r>
              <w:rPr>
                <w:b/>
                <w:bCs/>
              </w:rPr>
              <w:t xml:space="preserve">100.0</w:t>
            </w:r>
          </w:p>
        </w:tc>
      </w:tr>
    </w:tbl>
    <w:p>
      <w:pPr>
        <w:pStyle w:val="BodyText"/>
      </w:pPr>
      <w:r>
        <w:t xml:space="preserve">Manufacture by melt granulation at 85–90 °C (HCO mp ≈ 86 °C, carnauba wax mp ≈ 82–86 °C). Granulate through 850 μm. Compress to 300 mg, hardness 8–12 kP, on 9 mm round biconvex tooling. Anneal 60 °C / 12 h. Expected zero-order release over 14–18 hours.</w:t>
      </w:r>
    </w:p>
    <w:bookmarkEnd w:id="95"/>
    <w:bookmarkStart w:id="96" w:name="Xad51a86b14360d23a287092679f7a1f17c71568"/>
    <w:p>
      <w:pPr>
        <w:pStyle w:val="Heading3"/>
      </w:pPr>
      <w:r>
        <w:t xml:space="preserve">Example C — Stearic acid / cetyl alcohol / Gelucire 50/13 matrix (HME process)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8.5</w:t>
            </w:r>
          </w:p>
        </w:tc>
        <w:tc>
          <w:tcPr/>
          <w:p>
            <w:pPr>
              <w:pStyle w:val="Compact"/>
            </w:pPr>
            <w:r>
              <w:t xml:space="preserve">4.25</w:t>
            </w:r>
          </w:p>
        </w:tc>
      </w:tr>
      <w:tr>
        <w:tc>
          <w:tcPr/>
          <w:p>
            <w:pPr>
              <w:pStyle w:val="Compact"/>
            </w:pPr>
            <w:r>
              <w:t xml:space="preserve">Stearic acid (NF)</w:t>
            </w:r>
          </w:p>
        </w:tc>
        <w:tc>
          <w:tcPr/>
          <w:p>
            <w:pPr>
              <w:pStyle w:val="Compact"/>
            </w:pPr>
            <w:r>
              <w:t xml:space="preserve">60.0</w:t>
            </w:r>
          </w:p>
        </w:tc>
        <w:tc>
          <w:tcPr/>
          <w:p>
            <w:pPr>
              <w:pStyle w:val="Compact"/>
            </w:pPr>
            <w:r>
              <w:t xml:space="preserve">30.0</w:t>
            </w:r>
          </w:p>
        </w:tc>
      </w:tr>
      <w:tr>
        <w:tc>
          <w:tcPr/>
          <w:p>
            <w:pPr>
              <w:pStyle w:val="Compact"/>
            </w:pPr>
            <w:r>
              <w:t xml:space="preserve">Cetyl alcohol</w:t>
            </w:r>
          </w:p>
        </w:tc>
        <w:tc>
          <w:tcPr/>
          <w:p>
            <w:pPr>
              <w:pStyle w:val="Compact"/>
            </w:pPr>
            <w:r>
              <w:t xml:space="preserve">30.0</w:t>
            </w:r>
          </w:p>
        </w:tc>
        <w:tc>
          <w:tcPr/>
          <w:p>
            <w:pPr>
              <w:pStyle w:val="Compact"/>
            </w:pPr>
            <w:r>
              <w:t xml:space="preserve">15.0</w:t>
            </w:r>
          </w:p>
        </w:tc>
      </w:tr>
      <w:tr>
        <w:tc>
          <w:tcPr/>
          <w:p>
            <w:pPr>
              <w:pStyle w:val="Compact"/>
            </w:pPr>
            <w:r>
              <w:t xml:space="preserve">Gelucire 50/13</w:t>
            </w:r>
          </w:p>
        </w:tc>
        <w:tc>
          <w:tcPr/>
          <w:p>
            <w:pPr>
              <w:pStyle w:val="Compact"/>
            </w:pPr>
            <w:r>
              <w:t xml:space="preserve">30.0</w:t>
            </w:r>
          </w:p>
        </w:tc>
        <w:tc>
          <w:tcPr/>
          <w:p>
            <w:pPr>
              <w:pStyle w:val="Compact"/>
            </w:pPr>
            <w:r>
              <w:t xml:space="preserve">15.0</w:t>
            </w:r>
          </w:p>
        </w:tc>
      </w:tr>
      <w:tr>
        <w:tc>
          <w:tcPr/>
          <w:p>
            <w:pPr>
              <w:pStyle w:val="Compact"/>
            </w:pPr>
            <w:r>
              <w:t xml:space="preserve">Lactose monohydrate (200M)</w:t>
            </w:r>
          </w:p>
        </w:tc>
        <w:tc>
          <w:tcPr/>
          <w:p>
            <w:pPr>
              <w:pStyle w:val="Compact"/>
            </w:pPr>
            <w:r>
              <w:t xml:space="preserve">50.0</w:t>
            </w:r>
          </w:p>
        </w:tc>
        <w:tc>
          <w:tcPr/>
          <w:p>
            <w:pPr>
              <w:pStyle w:val="Compact"/>
            </w:pPr>
            <w:r>
              <w:t xml:space="preserve">25.0</w:t>
            </w:r>
          </w:p>
        </w:tc>
      </w:tr>
      <w:tr>
        <w:tc>
          <w:tcPr/>
          <w:p>
            <w:pPr>
              <w:pStyle w:val="Compact"/>
            </w:pPr>
            <w:r>
              <w:t xml:space="preserve">Crospovidone</w:t>
            </w:r>
          </w:p>
        </w:tc>
        <w:tc>
          <w:tcPr/>
          <w:p>
            <w:pPr>
              <w:pStyle w:val="Compact"/>
            </w:pPr>
            <w:r>
              <w:t xml:space="preserve">10.0</w:t>
            </w:r>
          </w:p>
        </w:tc>
        <w:tc>
          <w:tcPr/>
          <w:p>
            <w:pPr>
              <w:pStyle w:val="Compact"/>
            </w:pPr>
            <w:r>
              <w:t xml:space="preserve">5.0</w:t>
            </w:r>
          </w:p>
        </w:tc>
      </w:tr>
      <w:tr>
        <w:tc>
          <w:tcPr/>
          <w:p>
            <w:pPr>
              <w:pStyle w:val="Compact"/>
            </w:pPr>
            <w:r>
              <w:t xml:space="preserve">Vitamin E TPGS</w:t>
            </w:r>
          </w:p>
        </w:tc>
        <w:tc>
          <w:tcPr/>
          <w:p>
            <w:pPr>
              <w:pStyle w:val="Compact"/>
            </w:pPr>
            <w:r>
              <w:t xml:space="preserve">6.0</w:t>
            </w:r>
          </w:p>
        </w:tc>
        <w:tc>
          <w:tcPr/>
          <w:p>
            <w:pPr>
              <w:pStyle w:val="Compact"/>
            </w:pPr>
            <w:r>
              <w:t xml:space="preserve">3.0</w:t>
            </w:r>
          </w:p>
        </w:tc>
      </w:tr>
      <w:tr>
        <w:tc>
          <w:tcPr/>
          <w:p>
            <w:pPr>
              <w:pStyle w:val="Compact"/>
            </w:pPr>
            <w:r>
              <w:t xml:space="preserve">Magnesium stearate</w:t>
            </w:r>
          </w:p>
        </w:tc>
        <w:tc>
          <w:tcPr/>
          <w:p>
            <w:pPr>
              <w:pStyle w:val="Compact"/>
            </w:pPr>
            <w:r>
              <w:t xml:space="preserve">5.5</w:t>
            </w:r>
          </w:p>
        </w:tc>
        <w:tc>
          <w:tcPr/>
          <w:p>
            <w:pPr>
              <w:pStyle w:val="Compact"/>
            </w:pPr>
            <w:r>
              <w:t xml:space="preserve">2.75</w:t>
            </w:r>
          </w:p>
        </w:tc>
      </w:tr>
      <w:tr>
        <w:tc>
          <w:tcPr/>
          <w:p>
            <w:pPr>
              <w:pStyle w:val="Compact"/>
            </w:pPr>
            <w:r>
              <w:rPr>
                <w:b/>
                <w:bCs/>
              </w:rPr>
              <w:t xml:space="preserve">Total</w:t>
            </w:r>
          </w:p>
        </w:tc>
        <w:tc>
          <w:tcPr/>
          <w:p>
            <w:pPr>
              <w:pStyle w:val="Compact"/>
            </w:pPr>
            <w:r>
              <w:rPr>
                <w:b/>
                <w:bCs/>
              </w:rPr>
              <w:t xml:space="preserve">200.0</w:t>
            </w:r>
          </w:p>
        </w:tc>
        <w:tc>
          <w:tcPr/>
          <w:p>
            <w:pPr>
              <w:pStyle w:val="Compact"/>
            </w:pPr>
            <w:r>
              <w:rPr>
                <w:b/>
                <w:bCs/>
              </w:rPr>
              <w:t xml:space="preserve">100.0</w:t>
            </w:r>
          </w:p>
        </w:tc>
      </w:tr>
    </w:tbl>
    <w:p>
      <w:pPr>
        <w:pStyle w:val="BodyText"/>
      </w:pPr>
      <w:r>
        <w:t xml:space="preserve">Manufacture by hot-melt extrusion per §12.2: pre-blend all components except magnesium stearate; feed to twin-screw extruder (Leistritz Nano 16 or Thermo Pharma 16); zone temperatures 50/65/75/85/85/80 °C; screw speed 100 rpm; throughput 0.5 kg/h. Cool extrudate on chill conveyor; mill through 1 mm screen; lubricate; compress to 200 mg, hardness 7–9 kP. Expected first-order release over 10–14 hours.</w:t>
      </w:r>
    </w:p>
    <w:bookmarkEnd w:id="96"/>
    <w:bookmarkStart w:id="97" w:name="X34924f6767907f23f3084db964ebcd74ebc6096"/>
    <w:p>
      <w:pPr>
        <w:pStyle w:val="Heading3"/>
      </w:pPr>
      <w:r>
        <w:t xml:space="preserve">Example D — Gelucire 43/01 + glyceryl monostearate sustained-release pellets (MUPS in capsule)</w:t>
      </w:r>
    </w:p>
    <w:p>
      <w:pPr>
        <w:pStyle w:val="FirstParagraph"/>
      </w:pPr>
      <w:r>
        <w:t xml:space="preserve">Pellet composition (per gram of pellets):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mg/g</w:t>
            </w:r>
          </w:p>
        </w:tc>
        <w:tc>
          <w:tcPr/>
          <w:p>
            <w:pPr>
              <w:pStyle w:val="Compact"/>
            </w:pPr>
            <w:r>
              <w:t xml:space="preserve">% w/w</w:t>
            </w:r>
          </w:p>
        </w:tc>
      </w:tr>
      <w:tr>
        <w:tc>
          <w:tcPr/>
          <w:p>
            <w:pPr>
              <w:pStyle w:val="Compact"/>
            </w:pPr>
            <w:r>
              <w:t xml:space="preserve">Minoxidil USP</w:t>
            </w:r>
          </w:p>
        </w:tc>
        <w:tc>
          <w:tcPr/>
          <w:p>
            <w:pPr>
              <w:pStyle w:val="Compact"/>
            </w:pPr>
            <w:r>
              <w:t xml:space="preserve">85.0</w:t>
            </w:r>
          </w:p>
        </w:tc>
        <w:tc>
          <w:tcPr/>
          <w:p>
            <w:pPr>
              <w:pStyle w:val="Compact"/>
            </w:pPr>
            <w:r>
              <w:t xml:space="preserve">8.5</w:t>
            </w:r>
          </w:p>
        </w:tc>
      </w:tr>
      <w:tr>
        <w:tc>
          <w:tcPr/>
          <w:p>
            <w:pPr>
              <w:pStyle w:val="Compact"/>
            </w:pPr>
            <w:r>
              <w:t xml:space="preserve">Gelucire 43/01</w:t>
            </w:r>
          </w:p>
        </w:tc>
        <w:tc>
          <w:tcPr/>
          <w:p>
            <w:pPr>
              <w:pStyle w:val="Compact"/>
            </w:pPr>
            <w:r>
              <w:t xml:space="preserve">350.0</w:t>
            </w:r>
          </w:p>
        </w:tc>
        <w:tc>
          <w:tcPr/>
          <w:p>
            <w:pPr>
              <w:pStyle w:val="Compact"/>
            </w:pPr>
            <w:r>
              <w:t xml:space="preserve">35.0</w:t>
            </w:r>
          </w:p>
        </w:tc>
      </w:tr>
      <w:tr>
        <w:tc>
          <w:tcPr/>
          <w:p>
            <w:pPr>
              <w:pStyle w:val="Compact"/>
            </w:pPr>
            <w:r>
              <w:t xml:space="preserve">Glyceryl monostearate</w:t>
            </w:r>
          </w:p>
        </w:tc>
        <w:tc>
          <w:tcPr/>
          <w:p>
            <w:pPr>
              <w:pStyle w:val="Compact"/>
            </w:pPr>
            <w:r>
              <w:t xml:space="preserve">200.0</w:t>
            </w:r>
          </w:p>
        </w:tc>
        <w:tc>
          <w:tcPr/>
          <w:p>
            <w:pPr>
              <w:pStyle w:val="Compact"/>
            </w:pPr>
            <w:r>
              <w:t xml:space="preserve">20.0</w:t>
            </w:r>
          </w:p>
        </w:tc>
      </w:tr>
      <w:tr>
        <w:tc>
          <w:tcPr/>
          <w:p>
            <w:pPr>
              <w:pStyle w:val="Compact"/>
            </w:pPr>
            <w:r>
              <w:t xml:space="preserve">Microcrystalline cellulose (PH-105)</w:t>
            </w:r>
          </w:p>
        </w:tc>
        <w:tc>
          <w:tcPr/>
          <w:p>
            <w:pPr>
              <w:pStyle w:val="Compact"/>
            </w:pPr>
            <w:r>
              <w:t xml:space="preserve">250.0</w:t>
            </w:r>
          </w:p>
        </w:tc>
        <w:tc>
          <w:tcPr/>
          <w:p>
            <w:pPr>
              <w:pStyle w:val="Compact"/>
            </w:pPr>
            <w:r>
              <w:t xml:space="preserve">25.0</w:t>
            </w:r>
          </w:p>
        </w:tc>
      </w:tr>
      <w:tr>
        <w:tc>
          <w:tcPr/>
          <w:p>
            <w:pPr>
              <w:pStyle w:val="Compact"/>
            </w:pPr>
            <w:r>
              <w:t xml:space="preserve">Sucrose esters (S-1670)</w:t>
            </w:r>
          </w:p>
        </w:tc>
        <w:tc>
          <w:tcPr/>
          <w:p>
            <w:pPr>
              <w:pStyle w:val="Compact"/>
            </w:pPr>
            <w:r>
              <w:t xml:space="preserve">50.0</w:t>
            </w:r>
          </w:p>
        </w:tc>
        <w:tc>
          <w:tcPr/>
          <w:p>
            <w:pPr>
              <w:pStyle w:val="Compact"/>
            </w:pPr>
            <w:r>
              <w:t xml:space="preserve">5.0</w:t>
            </w:r>
          </w:p>
        </w:tc>
      </w:tr>
      <w:tr>
        <w:tc>
          <w:tcPr/>
          <w:p>
            <w:pPr>
              <w:pStyle w:val="Compact"/>
            </w:pPr>
            <w:r>
              <w:t xml:space="preserve">PEG 4000</w:t>
            </w:r>
          </w:p>
        </w:tc>
        <w:tc>
          <w:tcPr/>
          <w:p>
            <w:pPr>
              <w:pStyle w:val="Compact"/>
            </w:pPr>
            <w:r>
              <w:t xml:space="preserve">50.0</w:t>
            </w:r>
          </w:p>
        </w:tc>
        <w:tc>
          <w:tcPr/>
          <w:p>
            <w:pPr>
              <w:pStyle w:val="Compact"/>
            </w:pPr>
            <w:r>
              <w:t xml:space="preserve">5.0</w:t>
            </w:r>
          </w:p>
        </w:tc>
      </w:tr>
      <w:tr>
        <w:tc>
          <w:tcPr/>
          <w:p>
            <w:pPr>
              <w:pStyle w:val="Compact"/>
            </w:pPr>
            <w:r>
              <w:t xml:space="preserve">Aerosil 200</w:t>
            </w:r>
          </w:p>
        </w:tc>
        <w:tc>
          <w:tcPr/>
          <w:p>
            <w:pPr>
              <w:pStyle w:val="Compact"/>
            </w:pPr>
            <w:r>
              <w:t xml:space="preserve">10.0</w:t>
            </w:r>
          </w:p>
        </w:tc>
        <w:tc>
          <w:tcPr/>
          <w:p>
            <w:pPr>
              <w:pStyle w:val="Compact"/>
            </w:pPr>
            <w:r>
              <w:t xml:space="preserve">1.0</w:t>
            </w:r>
          </w:p>
        </w:tc>
      </w:tr>
      <w:tr>
        <w:tc>
          <w:tcPr/>
          <w:p>
            <w:pPr>
              <w:pStyle w:val="Compact"/>
            </w:pPr>
            <w:r>
              <w:t xml:space="preserve">Talc</w:t>
            </w:r>
          </w:p>
        </w:tc>
        <w:tc>
          <w:tcPr/>
          <w:p>
            <w:pPr>
              <w:pStyle w:val="Compact"/>
            </w:pPr>
            <w:r>
              <w:t xml:space="preserve">5.0</w:t>
            </w:r>
          </w:p>
        </w:tc>
        <w:tc>
          <w:tcPr/>
          <w:p>
            <w:pPr>
              <w:pStyle w:val="Compact"/>
            </w:pPr>
            <w:r>
              <w:t xml:space="preserve">0.5</w:t>
            </w:r>
          </w:p>
        </w:tc>
      </w:tr>
    </w:tbl>
    <w:p>
      <w:pPr>
        <w:pStyle w:val="BodyText"/>
      </w:pPr>
      <w:r>
        <w:t xml:space="preserve">Pellets (0.7–1.4 mm) prepared by melt pelletization per §12.4 in a high-shear granulator at 50–55 °C. Fill 100 mg pellets (= 8.5 mg minoxidil) into size 2 HPMC capsules. Optional outer enteric coat with Eudragit L100-55 (5–10% weight gain) for delayed release.</w:t>
      </w:r>
    </w:p>
    <w:bookmarkEnd w:id="97"/>
    <w:bookmarkStart w:id="98" w:name="Xf97aff9448e8528470f7e01b300d4501e30371f"/>
    <w:p>
      <w:pPr>
        <w:pStyle w:val="Heading3"/>
      </w:pPr>
      <w:r>
        <w:t xml:space="preserve">Example E — Bilayer tablet (immediate-release minoxidil + extended-release minoxidil from lipid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Component</w:t>
            </w:r>
          </w:p>
        </w:tc>
        <w:tc>
          <w:tcPr/>
          <w:p>
            <w:pPr>
              <w:pStyle w:val="Compact"/>
            </w:pPr>
            <w:r>
              <w:t xml:space="preserve">mg</w:t>
            </w:r>
          </w:p>
        </w:tc>
        <w:tc>
          <w:tcPr/>
          <w:p>
            <w:pPr>
              <w:pStyle w:val="Compact"/>
            </w:pPr>
            <w:r>
              <w:t xml:space="preserve">% of layer</w:t>
            </w:r>
          </w:p>
        </w:tc>
      </w:tr>
      <w:tr>
        <w:tc>
          <w:tcPr/>
          <w:p>
            <w:pPr>
              <w:pStyle w:val="Compact"/>
            </w:pPr>
            <w:r>
              <w:t xml:space="preserve">IR layer (75 mg)</w:t>
            </w:r>
          </w:p>
        </w:tc>
        <w:tc>
          <w:tcPr/>
          <w:p>
            <w:pPr>
              <w:pStyle w:val="Compact"/>
            </w:pPr>
            <w:r>
              <w:t xml:space="preserve">Minoxidil</w:t>
            </w:r>
          </w:p>
        </w:tc>
        <w:tc>
          <w:tcPr/>
          <w:p>
            <w:pPr>
              <w:pStyle w:val="Compact"/>
            </w:pPr>
            <w:r>
              <w:t xml:space="preserve">1.5</w:t>
            </w:r>
          </w:p>
        </w:tc>
        <w:tc>
          <w:tcPr/>
          <w:p>
            <w:pPr>
              <w:pStyle w:val="Compact"/>
            </w:pPr>
            <w:r>
              <w:t xml:space="preserve">2.0</w:t>
            </w:r>
          </w:p>
        </w:tc>
      </w:tr>
      <w:tr>
        <w:tc>
          <w:tcPr/>
          <w:p>
            <w:pPr>
              <w:pStyle w:val="Compact"/>
            </w:pPr>
          </w:p>
        </w:tc>
        <w:tc>
          <w:tcPr/>
          <w:p>
            <w:pPr>
              <w:pStyle w:val="Compact"/>
            </w:pPr>
            <w:r>
              <w:t xml:space="preserve">Microcrystalline cellulose</w:t>
            </w:r>
          </w:p>
        </w:tc>
        <w:tc>
          <w:tcPr/>
          <w:p>
            <w:pPr>
              <w:pStyle w:val="Compact"/>
            </w:pPr>
            <w:r>
              <w:t xml:space="preserve">50.0</w:t>
            </w:r>
          </w:p>
        </w:tc>
        <w:tc>
          <w:tcPr/>
          <w:p>
            <w:pPr>
              <w:pStyle w:val="Compact"/>
            </w:pPr>
            <w:r>
              <w:t xml:space="preserve">66.7</w:t>
            </w:r>
          </w:p>
        </w:tc>
      </w:tr>
      <w:tr>
        <w:tc>
          <w:tcPr/>
          <w:p>
            <w:pPr>
              <w:pStyle w:val="Compact"/>
            </w:pPr>
          </w:p>
        </w:tc>
        <w:tc>
          <w:tcPr/>
          <w:p>
            <w:pPr>
              <w:pStyle w:val="Compact"/>
            </w:pPr>
            <w:r>
              <w:t xml:space="preserve">Lactose monohydrate</w:t>
            </w:r>
          </w:p>
        </w:tc>
        <w:tc>
          <w:tcPr/>
          <w:p>
            <w:pPr>
              <w:pStyle w:val="Compact"/>
            </w:pPr>
            <w:r>
              <w:t xml:space="preserve">18.0</w:t>
            </w:r>
          </w:p>
        </w:tc>
        <w:tc>
          <w:tcPr/>
          <w:p>
            <w:pPr>
              <w:pStyle w:val="Compact"/>
            </w:pPr>
            <w:r>
              <w:t xml:space="preserve">24.0</w:t>
            </w:r>
          </w:p>
        </w:tc>
      </w:tr>
      <w:tr>
        <w:tc>
          <w:tcPr/>
          <w:p>
            <w:pPr>
              <w:pStyle w:val="Compact"/>
            </w:pPr>
          </w:p>
        </w:tc>
        <w:tc>
          <w:tcPr/>
          <w:p>
            <w:pPr>
              <w:pStyle w:val="Compact"/>
            </w:pPr>
            <w:r>
              <w:t xml:space="preserve">Croscarmellose sodium</w:t>
            </w:r>
          </w:p>
        </w:tc>
        <w:tc>
          <w:tcPr/>
          <w:p>
            <w:pPr>
              <w:pStyle w:val="Compact"/>
            </w:pPr>
            <w:r>
              <w:t xml:space="preserve">4.0</w:t>
            </w:r>
          </w:p>
        </w:tc>
        <w:tc>
          <w:tcPr/>
          <w:p>
            <w:pPr>
              <w:pStyle w:val="Compact"/>
            </w:pPr>
            <w:r>
              <w:t xml:space="preserve">5.3</w:t>
            </w:r>
          </w:p>
        </w:tc>
      </w:tr>
      <w:tr>
        <w:tc>
          <w:tcPr/>
          <w:p>
            <w:pPr>
              <w:pStyle w:val="Compact"/>
            </w:pPr>
          </w:p>
        </w:tc>
        <w:tc>
          <w:tcPr/>
          <w:p>
            <w:pPr>
              <w:pStyle w:val="Compact"/>
            </w:pPr>
            <w:r>
              <w:t xml:space="preserve">Magnesium stearate</w:t>
            </w:r>
          </w:p>
        </w:tc>
        <w:tc>
          <w:tcPr/>
          <w:p>
            <w:pPr>
              <w:pStyle w:val="Compact"/>
            </w:pPr>
            <w:r>
              <w:t xml:space="preserve">1.5</w:t>
            </w:r>
          </w:p>
        </w:tc>
        <w:tc>
          <w:tcPr/>
          <w:p>
            <w:pPr>
              <w:pStyle w:val="Compact"/>
            </w:pPr>
            <w:r>
              <w:t xml:space="preserve">2.0</w:t>
            </w:r>
          </w:p>
        </w:tc>
      </w:tr>
      <w:tr>
        <w:tc>
          <w:tcPr/>
          <w:p>
            <w:pPr>
              <w:pStyle w:val="Compact"/>
            </w:pPr>
            <w:r>
              <w:t xml:space="preserve">ER lipid layer (225 mg)</w:t>
            </w:r>
          </w:p>
        </w:tc>
        <w:tc>
          <w:tcPr/>
          <w:p>
            <w:pPr>
              <w:pStyle w:val="Compact"/>
            </w:pPr>
            <w:r>
              <w:t xml:space="preserve">Minoxidil</w:t>
            </w:r>
          </w:p>
        </w:tc>
        <w:tc>
          <w:tcPr/>
          <w:p>
            <w:pPr>
              <w:pStyle w:val="Compact"/>
            </w:pPr>
            <w:r>
              <w:t xml:space="preserve">7.0</w:t>
            </w:r>
          </w:p>
        </w:tc>
        <w:tc>
          <w:tcPr/>
          <w:p>
            <w:pPr>
              <w:pStyle w:val="Compact"/>
            </w:pPr>
            <w:r>
              <w:t xml:space="preserve">3.1</w:t>
            </w:r>
          </w:p>
        </w:tc>
      </w:tr>
      <w:tr>
        <w:tc>
          <w:tcPr/>
          <w:p>
            <w:pPr>
              <w:pStyle w:val="Compact"/>
            </w:pPr>
          </w:p>
        </w:tc>
        <w:tc>
          <w:tcPr/>
          <w:p>
            <w:pPr>
              <w:pStyle w:val="Compact"/>
            </w:pPr>
            <w:r>
              <w:t xml:space="preserve">Glyceryl behenate</w:t>
            </w:r>
          </w:p>
        </w:tc>
        <w:tc>
          <w:tcPr/>
          <w:p>
            <w:pPr>
              <w:pStyle w:val="Compact"/>
            </w:pPr>
            <w:r>
              <w:t xml:space="preserve">110.0</w:t>
            </w:r>
          </w:p>
        </w:tc>
        <w:tc>
          <w:tcPr/>
          <w:p>
            <w:pPr>
              <w:pStyle w:val="Compact"/>
            </w:pPr>
            <w:r>
              <w:t xml:space="preserve">48.9</w:t>
            </w:r>
          </w:p>
        </w:tc>
      </w:tr>
      <w:tr>
        <w:tc>
          <w:tcPr/>
          <w:p>
            <w:pPr>
              <w:pStyle w:val="Compact"/>
            </w:pPr>
          </w:p>
        </w:tc>
        <w:tc>
          <w:tcPr/>
          <w:p>
            <w:pPr>
              <w:pStyle w:val="Compact"/>
            </w:pPr>
            <w:r>
              <w:t xml:space="preserve">Glyceryl palmitostearate</w:t>
            </w:r>
          </w:p>
        </w:tc>
        <w:tc>
          <w:tcPr/>
          <w:p>
            <w:pPr>
              <w:pStyle w:val="Compact"/>
            </w:pPr>
            <w:r>
              <w:t xml:space="preserve">27.0</w:t>
            </w:r>
          </w:p>
        </w:tc>
        <w:tc>
          <w:tcPr/>
          <w:p>
            <w:pPr>
              <w:pStyle w:val="Compact"/>
            </w:pPr>
            <w:r>
              <w:t xml:space="preserve">12.0</w:t>
            </w:r>
          </w:p>
        </w:tc>
      </w:tr>
      <w:tr>
        <w:tc>
          <w:tcPr/>
          <w:p>
            <w:pPr>
              <w:pStyle w:val="Compact"/>
            </w:pPr>
          </w:p>
        </w:tc>
        <w:tc>
          <w:tcPr/>
          <w:p>
            <w:pPr>
              <w:pStyle w:val="Compact"/>
            </w:pPr>
            <w:r>
              <w:t xml:space="preserve">PEG 6000</w:t>
            </w:r>
          </w:p>
        </w:tc>
        <w:tc>
          <w:tcPr/>
          <w:p>
            <w:pPr>
              <w:pStyle w:val="Compact"/>
            </w:pPr>
            <w:r>
              <w:t xml:space="preserve">11.0</w:t>
            </w:r>
          </w:p>
        </w:tc>
        <w:tc>
          <w:tcPr/>
          <w:p>
            <w:pPr>
              <w:pStyle w:val="Compact"/>
            </w:pPr>
            <w:r>
              <w:t xml:space="preserve">4.9</w:t>
            </w:r>
          </w:p>
        </w:tc>
      </w:tr>
      <w:tr>
        <w:tc>
          <w:tcPr/>
          <w:p>
            <w:pPr>
              <w:pStyle w:val="Compact"/>
            </w:pPr>
          </w:p>
        </w:tc>
        <w:tc>
          <w:tcPr/>
          <w:p>
            <w:pPr>
              <w:pStyle w:val="Compact"/>
            </w:pPr>
            <w:r>
              <w:t xml:space="preserve">Microcrystalline cellulose</w:t>
            </w:r>
          </w:p>
        </w:tc>
        <w:tc>
          <w:tcPr/>
          <w:p>
            <w:pPr>
              <w:pStyle w:val="Compact"/>
            </w:pPr>
            <w:r>
              <w:t xml:space="preserve">50.0</w:t>
            </w:r>
          </w:p>
        </w:tc>
        <w:tc>
          <w:tcPr/>
          <w:p>
            <w:pPr>
              <w:pStyle w:val="Compact"/>
            </w:pPr>
            <w:r>
              <w:t xml:space="preserve">22.2</w:t>
            </w:r>
          </w:p>
        </w:tc>
      </w:tr>
      <w:tr>
        <w:tc>
          <w:tcPr/>
          <w:p>
            <w:pPr>
              <w:pStyle w:val="Compact"/>
            </w:pPr>
          </w:p>
        </w:tc>
        <w:tc>
          <w:tcPr/>
          <w:p>
            <w:pPr>
              <w:pStyle w:val="Compact"/>
            </w:pPr>
            <w:r>
              <w:t xml:space="preserve">Lactose monohydrate</w:t>
            </w:r>
          </w:p>
        </w:tc>
        <w:tc>
          <w:tcPr/>
          <w:p>
            <w:pPr>
              <w:pStyle w:val="Compact"/>
            </w:pPr>
            <w:r>
              <w:t xml:space="preserve">14.0</w:t>
            </w:r>
          </w:p>
        </w:tc>
        <w:tc>
          <w:tcPr/>
          <w:p>
            <w:pPr>
              <w:pStyle w:val="Compact"/>
            </w:pPr>
            <w:r>
              <w:t xml:space="preserve">6.2</w:t>
            </w:r>
          </w:p>
        </w:tc>
      </w:tr>
      <w:tr>
        <w:tc>
          <w:tcPr/>
          <w:p>
            <w:pPr>
              <w:pStyle w:val="Compact"/>
            </w:pPr>
          </w:p>
        </w:tc>
        <w:tc>
          <w:tcPr/>
          <w:p>
            <w:pPr>
              <w:pStyle w:val="Compact"/>
            </w:pPr>
            <w:r>
              <w:t xml:space="preserve">Poloxamer 188</w:t>
            </w:r>
          </w:p>
        </w:tc>
        <w:tc>
          <w:tcPr/>
          <w:p>
            <w:pPr>
              <w:pStyle w:val="Compact"/>
            </w:pPr>
            <w:r>
              <w:t xml:space="preserve">3.0</w:t>
            </w:r>
          </w:p>
        </w:tc>
        <w:tc>
          <w:tcPr/>
          <w:p>
            <w:pPr>
              <w:pStyle w:val="Compact"/>
            </w:pPr>
            <w:r>
              <w:t xml:space="preserve">1.3</w:t>
            </w:r>
          </w:p>
        </w:tc>
      </w:tr>
      <w:tr>
        <w:tc>
          <w:tcPr/>
          <w:p>
            <w:pPr>
              <w:pStyle w:val="Compact"/>
            </w:pPr>
          </w:p>
        </w:tc>
        <w:tc>
          <w:tcPr/>
          <w:p>
            <w:pPr>
              <w:pStyle w:val="Compact"/>
            </w:pPr>
            <w:r>
              <w:t xml:space="preserve">Magnesium stearate</w:t>
            </w:r>
          </w:p>
        </w:tc>
        <w:tc>
          <w:tcPr/>
          <w:p>
            <w:pPr>
              <w:pStyle w:val="Compact"/>
            </w:pPr>
            <w:r>
              <w:t xml:space="preserve">3.0</w:t>
            </w:r>
          </w:p>
        </w:tc>
        <w:tc>
          <w:tcPr/>
          <w:p>
            <w:pPr>
              <w:pStyle w:val="Compact"/>
            </w:pPr>
            <w:r>
              <w:t xml:space="preserve">1.3</w:t>
            </w:r>
          </w:p>
        </w:tc>
      </w:tr>
    </w:tbl>
    <w:p>
      <w:pPr>
        <w:pStyle w:val="BodyText"/>
      </w:pPr>
      <w:r>
        <w:t xml:space="preserve">Total minoxidil per tablet: 8.5 mg (1.5 mg IR + 7.0 mg ER). Manufactured by separate granulation of each layer (IR by direct compression, ER by melt granulation per §12.1) followed by bilayer compression.</w:t>
      </w:r>
    </w:p>
    <w:bookmarkEnd w:id="98"/>
    <w:bookmarkStart w:id="99" w:name="X0f3ae137afea72bd2d316da444c82421c901d54"/>
    <w:p>
      <w:pPr>
        <w:pStyle w:val="Heading3"/>
      </w:pPr>
      <w:r>
        <w:t xml:space="preserve">Example F — Combination minoxidil + finasteride lipid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8.5</w:t>
            </w:r>
          </w:p>
        </w:tc>
        <w:tc>
          <w:tcPr/>
          <w:p>
            <w:pPr>
              <w:pStyle w:val="Compact"/>
            </w:pPr>
            <w:r>
              <w:t xml:space="preserve">3.4</w:t>
            </w:r>
          </w:p>
        </w:tc>
      </w:tr>
      <w:tr>
        <w:tc>
          <w:tcPr/>
          <w:p>
            <w:pPr>
              <w:pStyle w:val="Compact"/>
            </w:pPr>
            <w:r>
              <w:t xml:space="preserve">Finasteride USP</w:t>
            </w:r>
          </w:p>
        </w:tc>
        <w:tc>
          <w:tcPr/>
          <w:p>
            <w:pPr>
              <w:pStyle w:val="Compact"/>
            </w:pPr>
            <w:r>
              <w:t xml:space="preserve">1.0</w:t>
            </w:r>
          </w:p>
        </w:tc>
        <w:tc>
          <w:tcPr/>
          <w:p>
            <w:pPr>
              <w:pStyle w:val="Compact"/>
            </w:pPr>
            <w:r>
              <w:t xml:space="preserve">0.4</w:t>
            </w:r>
          </w:p>
        </w:tc>
      </w:tr>
      <w:tr>
        <w:tc>
          <w:tcPr/>
          <w:p>
            <w:pPr>
              <w:pStyle w:val="Compact"/>
            </w:pPr>
            <w:r>
              <w:t xml:space="preserve">Glyceryl behenate</w:t>
            </w:r>
          </w:p>
        </w:tc>
        <w:tc>
          <w:tcPr/>
          <w:p>
            <w:pPr>
              <w:pStyle w:val="Compact"/>
            </w:pPr>
            <w:r>
              <w:t xml:space="preserve">110.0</w:t>
            </w:r>
          </w:p>
        </w:tc>
        <w:tc>
          <w:tcPr/>
          <w:p>
            <w:pPr>
              <w:pStyle w:val="Compact"/>
            </w:pPr>
            <w:r>
              <w:t xml:space="preserve">44.0</w:t>
            </w:r>
          </w:p>
        </w:tc>
      </w:tr>
      <w:tr>
        <w:tc>
          <w:tcPr/>
          <w:p>
            <w:pPr>
              <w:pStyle w:val="Compact"/>
            </w:pPr>
            <w:r>
              <w:t xml:space="preserve">Glyceryl palmitostearate</w:t>
            </w:r>
          </w:p>
        </w:tc>
        <w:tc>
          <w:tcPr/>
          <w:p>
            <w:pPr>
              <w:pStyle w:val="Compact"/>
            </w:pPr>
            <w:r>
              <w:t xml:space="preserve">30.0</w:t>
            </w:r>
          </w:p>
        </w:tc>
        <w:tc>
          <w:tcPr/>
          <w:p>
            <w:pPr>
              <w:pStyle w:val="Compact"/>
            </w:pPr>
            <w:r>
              <w:t xml:space="preserve">12.0</w:t>
            </w:r>
          </w:p>
        </w:tc>
      </w:tr>
      <w:tr>
        <w:tc>
          <w:tcPr/>
          <w:p>
            <w:pPr>
              <w:pStyle w:val="Compact"/>
            </w:pPr>
            <w:r>
              <w:t xml:space="preserve">PEG 6000</w:t>
            </w:r>
          </w:p>
        </w:tc>
        <w:tc>
          <w:tcPr/>
          <w:p>
            <w:pPr>
              <w:pStyle w:val="Compact"/>
            </w:pPr>
            <w:r>
              <w:t xml:space="preserve">12.5</w:t>
            </w:r>
          </w:p>
        </w:tc>
        <w:tc>
          <w:tcPr/>
          <w:p>
            <w:pPr>
              <w:pStyle w:val="Compact"/>
            </w:pPr>
            <w:r>
              <w:t xml:space="preserve">5.0</w:t>
            </w:r>
          </w:p>
        </w:tc>
      </w:tr>
      <w:tr>
        <w:tc>
          <w:tcPr/>
          <w:p>
            <w:pPr>
              <w:pStyle w:val="Compact"/>
            </w:pPr>
            <w:r>
              <w:t xml:space="preserve">Microcrystalline cellulose</w:t>
            </w:r>
          </w:p>
        </w:tc>
        <w:tc>
          <w:tcPr/>
          <w:p>
            <w:pPr>
              <w:pStyle w:val="Compact"/>
            </w:pPr>
            <w:r>
              <w:t xml:space="preserve">53.5</w:t>
            </w:r>
          </w:p>
        </w:tc>
        <w:tc>
          <w:tcPr/>
          <w:p>
            <w:pPr>
              <w:pStyle w:val="Compact"/>
            </w:pPr>
            <w:r>
              <w:t xml:space="preserve">21.4</w:t>
            </w:r>
          </w:p>
        </w:tc>
      </w:tr>
      <w:tr>
        <w:tc>
          <w:tcPr/>
          <w:p>
            <w:pPr>
              <w:pStyle w:val="Compact"/>
            </w:pPr>
            <w:r>
              <w:t xml:space="preserve">Lactose monohydrate</w:t>
            </w:r>
          </w:p>
        </w:tc>
        <w:tc>
          <w:tcPr/>
          <w:p>
            <w:pPr>
              <w:pStyle w:val="Compact"/>
            </w:pPr>
            <w:r>
              <w:t xml:space="preserve">17.5</w:t>
            </w:r>
          </w:p>
        </w:tc>
        <w:tc>
          <w:tcPr/>
          <w:p>
            <w:pPr>
              <w:pStyle w:val="Compact"/>
            </w:pPr>
            <w:r>
              <w:t xml:space="preserve">7.0</w:t>
            </w:r>
          </w:p>
        </w:tc>
      </w:tr>
      <w:tr>
        <w:tc>
          <w:tcPr/>
          <w:p>
            <w:pPr>
              <w:pStyle w:val="Compact"/>
            </w:pPr>
            <w:r>
              <w:t xml:space="preserve">Poloxamer 188</w:t>
            </w:r>
          </w:p>
        </w:tc>
        <w:tc>
          <w:tcPr/>
          <w:p>
            <w:pPr>
              <w:pStyle w:val="Compact"/>
            </w:pPr>
            <w:r>
              <w:t xml:space="preserve">3.75</w:t>
            </w:r>
          </w:p>
        </w:tc>
        <w:tc>
          <w:tcPr/>
          <w:p>
            <w:pPr>
              <w:pStyle w:val="Compact"/>
            </w:pPr>
            <w:r>
              <w:t xml:space="preserve">1.5</w:t>
            </w:r>
          </w:p>
        </w:tc>
      </w:tr>
      <w:tr>
        <w:tc>
          <w:tcPr/>
          <w:p>
            <w:pPr>
              <w:pStyle w:val="Compact"/>
            </w:pPr>
            <w:r>
              <w:t xml:space="preserve">Colloidal silicon dioxide</w:t>
            </w:r>
          </w:p>
        </w:tc>
        <w:tc>
          <w:tcPr/>
          <w:p>
            <w:pPr>
              <w:pStyle w:val="Compact"/>
            </w:pPr>
            <w:r>
              <w:t xml:space="preserve">5.0</w:t>
            </w:r>
          </w:p>
        </w:tc>
        <w:tc>
          <w:tcPr/>
          <w:p>
            <w:pPr>
              <w:pStyle w:val="Compact"/>
            </w:pPr>
            <w:r>
              <w:t xml:space="preserve">2.0</w:t>
            </w:r>
          </w:p>
        </w:tc>
      </w:tr>
      <w:tr>
        <w:tc>
          <w:tcPr/>
          <w:p>
            <w:pPr>
              <w:pStyle w:val="Compact"/>
            </w:pPr>
            <w:r>
              <w:t xml:space="preserve">Magnesium stearate</w:t>
            </w:r>
          </w:p>
        </w:tc>
        <w:tc>
          <w:tcPr/>
          <w:p>
            <w:pPr>
              <w:pStyle w:val="Compact"/>
            </w:pPr>
            <w:r>
              <w:t xml:space="preserve">5.25</w:t>
            </w:r>
          </w:p>
        </w:tc>
        <w:tc>
          <w:tcPr/>
          <w:p>
            <w:pPr>
              <w:pStyle w:val="Compact"/>
            </w:pPr>
            <w:r>
              <w:t xml:space="preserve">2.1</w:t>
            </w:r>
          </w:p>
        </w:tc>
      </w:tr>
      <w:tr>
        <w:tc>
          <w:tcPr/>
          <w:p>
            <w:pPr>
              <w:pStyle w:val="Compact"/>
            </w:pPr>
            <w:r>
              <w:t xml:space="preserve">Vitamin E (antioxidant)</w:t>
            </w:r>
          </w:p>
        </w:tc>
        <w:tc>
          <w:tcPr/>
          <w:p>
            <w:pPr>
              <w:pStyle w:val="Compact"/>
            </w:pPr>
            <w:r>
              <w:t xml:space="preserve">3.0</w:t>
            </w:r>
          </w:p>
        </w:tc>
        <w:tc>
          <w:tcPr/>
          <w:p>
            <w:pPr>
              <w:pStyle w:val="Compact"/>
            </w:pPr>
            <w:r>
              <w:t xml:space="preserve">1.2</w:t>
            </w:r>
          </w:p>
        </w:tc>
      </w:tr>
      <w:tr>
        <w:tc>
          <w:tcPr/>
          <w:p>
            <w:pPr>
              <w:pStyle w:val="Compact"/>
            </w:pPr>
            <w:r>
              <w:rPr>
                <w:b/>
                <w:bCs/>
              </w:rPr>
              <w:t xml:space="preserve">Total</w:t>
            </w:r>
          </w:p>
        </w:tc>
        <w:tc>
          <w:tcPr/>
          <w:p>
            <w:pPr>
              <w:pStyle w:val="Compact"/>
            </w:pPr>
            <w:r>
              <w:rPr>
                <w:b/>
                <w:bCs/>
              </w:rPr>
              <w:t xml:space="preserve">250.0</w:t>
            </w:r>
          </w:p>
        </w:tc>
        <w:tc>
          <w:tcPr/>
          <w:p>
            <w:pPr>
              <w:pStyle w:val="Compact"/>
            </w:pPr>
            <w:r>
              <w:rPr>
                <w:b/>
                <w:bCs/>
              </w:rPr>
              <w:t xml:space="preserve">100.0</w:t>
            </w:r>
          </w:p>
        </w:tc>
      </w:tr>
    </w:tbl>
    <w:p>
      <w:pPr>
        <w:pStyle w:val="BodyText"/>
      </w:pPr>
      <w:r>
        <w:t xml:space="preserve">Same melt-granulation process as Example A; finasteride co-blended with minoxidil into MCC carrier prior to addition to lipid melt.</w:t>
      </w:r>
    </w:p>
    <w:bookmarkEnd w:id="99"/>
    <w:bookmarkStart w:id="100" w:name="X7b120e8d88a4faae12c8e623c2785e8ff9e7d1c"/>
    <w:p>
      <w:pPr>
        <w:pStyle w:val="Heading3"/>
      </w:pPr>
      <w:r>
        <w:t xml:space="preserve">Example G — Combination minoxidil + dutasteride + spironolactone lipid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8.5</w:t>
            </w:r>
          </w:p>
        </w:tc>
        <w:tc>
          <w:tcPr/>
          <w:p>
            <w:pPr>
              <w:pStyle w:val="Compact"/>
            </w:pPr>
            <w:r>
              <w:t xml:space="preserve">2.83</w:t>
            </w:r>
          </w:p>
        </w:tc>
      </w:tr>
      <w:tr>
        <w:tc>
          <w:tcPr/>
          <w:p>
            <w:pPr>
              <w:pStyle w:val="Compact"/>
            </w:pPr>
            <w:r>
              <w:t xml:space="preserve">Dutasteride USP</w:t>
            </w:r>
          </w:p>
        </w:tc>
        <w:tc>
          <w:tcPr/>
          <w:p>
            <w:pPr>
              <w:pStyle w:val="Compact"/>
            </w:pPr>
            <w:r>
              <w:t xml:space="preserve">0.5</w:t>
            </w:r>
          </w:p>
        </w:tc>
        <w:tc>
          <w:tcPr/>
          <w:p>
            <w:pPr>
              <w:pStyle w:val="Compact"/>
            </w:pPr>
            <w:r>
              <w:t xml:space="preserve">0.17</w:t>
            </w:r>
          </w:p>
        </w:tc>
      </w:tr>
      <w:tr>
        <w:tc>
          <w:tcPr/>
          <w:p>
            <w:pPr>
              <w:pStyle w:val="Compact"/>
            </w:pPr>
            <w:r>
              <w:t xml:space="preserve">Spironolactone USP</w:t>
            </w:r>
          </w:p>
        </w:tc>
        <w:tc>
          <w:tcPr/>
          <w:p>
            <w:pPr>
              <w:pStyle w:val="Compact"/>
            </w:pPr>
            <w:r>
              <w:t xml:space="preserve">25.0</w:t>
            </w:r>
          </w:p>
        </w:tc>
        <w:tc>
          <w:tcPr/>
          <w:p>
            <w:pPr>
              <w:pStyle w:val="Compact"/>
            </w:pPr>
            <w:r>
              <w:t xml:space="preserve">8.33</w:t>
            </w:r>
          </w:p>
        </w:tc>
      </w:tr>
      <w:tr>
        <w:tc>
          <w:tcPr/>
          <w:p>
            <w:pPr>
              <w:pStyle w:val="Compact"/>
            </w:pPr>
            <w:r>
              <w:t xml:space="preserve">Glyceryl behenate</w:t>
            </w:r>
          </w:p>
        </w:tc>
        <w:tc>
          <w:tcPr/>
          <w:p>
            <w:pPr>
              <w:pStyle w:val="Compact"/>
            </w:pPr>
            <w:r>
              <w:t xml:space="preserve">120.0</w:t>
            </w:r>
          </w:p>
        </w:tc>
        <w:tc>
          <w:tcPr/>
          <w:p>
            <w:pPr>
              <w:pStyle w:val="Compact"/>
            </w:pPr>
            <w:r>
              <w:t xml:space="preserve">40.0</w:t>
            </w:r>
          </w:p>
        </w:tc>
      </w:tr>
      <w:tr>
        <w:tc>
          <w:tcPr/>
          <w:p>
            <w:pPr>
              <w:pStyle w:val="Compact"/>
            </w:pPr>
            <w:r>
              <w:t xml:space="preserve">Glyceryl palmitostearate</w:t>
            </w:r>
          </w:p>
        </w:tc>
        <w:tc>
          <w:tcPr/>
          <w:p>
            <w:pPr>
              <w:pStyle w:val="Compact"/>
            </w:pPr>
            <w:r>
              <w:t xml:space="preserve">36.0</w:t>
            </w:r>
          </w:p>
        </w:tc>
        <w:tc>
          <w:tcPr/>
          <w:p>
            <w:pPr>
              <w:pStyle w:val="Compact"/>
            </w:pPr>
            <w:r>
              <w:t xml:space="preserve">12.0</w:t>
            </w:r>
          </w:p>
        </w:tc>
      </w:tr>
      <w:tr>
        <w:tc>
          <w:tcPr/>
          <w:p>
            <w:pPr>
              <w:pStyle w:val="Compact"/>
            </w:pPr>
            <w:r>
              <w:t xml:space="preserve">PEG 6000</w:t>
            </w:r>
          </w:p>
        </w:tc>
        <w:tc>
          <w:tcPr/>
          <w:p>
            <w:pPr>
              <w:pStyle w:val="Compact"/>
            </w:pPr>
            <w:r>
              <w:t xml:space="preserve">15.0</w:t>
            </w:r>
          </w:p>
        </w:tc>
        <w:tc>
          <w:tcPr/>
          <w:p>
            <w:pPr>
              <w:pStyle w:val="Compact"/>
            </w:pPr>
            <w:r>
              <w:t xml:space="preserve">5.0</w:t>
            </w:r>
          </w:p>
        </w:tc>
      </w:tr>
      <w:tr>
        <w:tc>
          <w:tcPr/>
          <w:p>
            <w:pPr>
              <w:pStyle w:val="Compact"/>
            </w:pPr>
            <w:r>
              <w:t xml:space="preserve">Microcrystalline cellulose</w:t>
            </w:r>
          </w:p>
        </w:tc>
        <w:tc>
          <w:tcPr/>
          <w:p>
            <w:pPr>
              <w:pStyle w:val="Compact"/>
            </w:pPr>
            <w:r>
              <w:t xml:space="preserve">60.0</w:t>
            </w:r>
          </w:p>
        </w:tc>
        <w:tc>
          <w:tcPr/>
          <w:p>
            <w:pPr>
              <w:pStyle w:val="Compact"/>
            </w:pPr>
            <w:r>
              <w:t xml:space="preserve">20.0</w:t>
            </w:r>
          </w:p>
        </w:tc>
      </w:tr>
      <w:tr>
        <w:tc>
          <w:tcPr/>
          <w:p>
            <w:pPr>
              <w:pStyle w:val="Compact"/>
            </w:pPr>
            <w:r>
              <w:t xml:space="preserve">Lactose monohydrate</w:t>
            </w:r>
          </w:p>
        </w:tc>
        <w:tc>
          <w:tcPr/>
          <w:p>
            <w:pPr>
              <w:pStyle w:val="Compact"/>
            </w:pPr>
            <w:r>
              <w:t xml:space="preserve">21.0</w:t>
            </w:r>
          </w:p>
        </w:tc>
        <w:tc>
          <w:tcPr/>
          <w:p>
            <w:pPr>
              <w:pStyle w:val="Compact"/>
            </w:pPr>
            <w:r>
              <w:t xml:space="preserve">7.0</w:t>
            </w:r>
          </w:p>
        </w:tc>
      </w:tr>
      <w:tr>
        <w:tc>
          <w:tcPr/>
          <w:p>
            <w:pPr>
              <w:pStyle w:val="Compact"/>
            </w:pPr>
            <w:r>
              <w:t xml:space="preserve">Poloxamer 188</w:t>
            </w:r>
          </w:p>
        </w:tc>
        <w:tc>
          <w:tcPr/>
          <w:p>
            <w:pPr>
              <w:pStyle w:val="Compact"/>
            </w:pPr>
            <w:r>
              <w:t xml:space="preserve">4.5</w:t>
            </w:r>
          </w:p>
        </w:tc>
        <w:tc>
          <w:tcPr/>
          <w:p>
            <w:pPr>
              <w:pStyle w:val="Compact"/>
            </w:pPr>
            <w:r>
              <w:t xml:space="preserve">1.5</w:t>
            </w:r>
          </w:p>
        </w:tc>
      </w:tr>
      <w:tr>
        <w:tc>
          <w:tcPr/>
          <w:p>
            <w:pPr>
              <w:pStyle w:val="Compact"/>
            </w:pPr>
            <w:r>
              <w:t xml:space="preserve">Colloidal silicon dioxide</w:t>
            </w:r>
          </w:p>
        </w:tc>
        <w:tc>
          <w:tcPr/>
          <w:p>
            <w:pPr>
              <w:pStyle w:val="Compact"/>
            </w:pPr>
            <w:r>
              <w:t xml:space="preserve">6.0</w:t>
            </w:r>
          </w:p>
        </w:tc>
        <w:tc>
          <w:tcPr/>
          <w:p>
            <w:pPr>
              <w:pStyle w:val="Compact"/>
            </w:pPr>
            <w:r>
              <w:t xml:space="preserve">2.0</w:t>
            </w:r>
          </w:p>
        </w:tc>
      </w:tr>
      <w:tr>
        <w:tc>
          <w:tcPr/>
          <w:p>
            <w:pPr>
              <w:pStyle w:val="Compact"/>
            </w:pPr>
            <w:r>
              <w:t xml:space="preserve">Magnesium stearate</w:t>
            </w:r>
          </w:p>
        </w:tc>
        <w:tc>
          <w:tcPr/>
          <w:p>
            <w:pPr>
              <w:pStyle w:val="Compact"/>
            </w:pPr>
            <w:r>
              <w:t xml:space="preserve">6.5</w:t>
            </w:r>
          </w:p>
        </w:tc>
        <w:tc>
          <w:tcPr/>
          <w:p>
            <w:pPr>
              <w:pStyle w:val="Compact"/>
            </w:pPr>
            <w:r>
              <w:t xml:space="preserve">2.17</w:t>
            </w:r>
          </w:p>
        </w:tc>
      </w:tr>
      <w:tr>
        <w:tc>
          <w:tcPr/>
          <w:p>
            <w:pPr>
              <w:pStyle w:val="Compact"/>
            </w:pPr>
            <w:r>
              <w:t xml:space="preserve">BHT (antioxidant)</w:t>
            </w:r>
          </w:p>
        </w:tc>
        <w:tc>
          <w:tcPr/>
          <w:p>
            <w:pPr>
              <w:pStyle w:val="Compact"/>
            </w:pPr>
            <w:r>
              <w:t xml:space="preserve">0.5</w:t>
            </w:r>
          </w:p>
        </w:tc>
        <w:tc>
          <w:tcPr/>
          <w:p>
            <w:pPr>
              <w:pStyle w:val="Compact"/>
            </w:pPr>
            <w:r>
              <w:t xml:space="preserve">0.17</w:t>
            </w:r>
          </w:p>
        </w:tc>
      </w:tr>
      <w:tr>
        <w:tc>
          <w:tcPr/>
          <w:p>
            <w:pPr>
              <w:pStyle w:val="Compact"/>
            </w:pPr>
            <w:r>
              <w:rPr>
                <w:b/>
                <w:bCs/>
              </w:rPr>
              <w:t xml:space="preserve">Total</w:t>
            </w:r>
          </w:p>
        </w:tc>
        <w:tc>
          <w:tcPr/>
          <w:p>
            <w:pPr>
              <w:pStyle w:val="Compact"/>
            </w:pPr>
            <w:r>
              <w:rPr>
                <w:b/>
                <w:bCs/>
              </w:rPr>
              <w:t xml:space="preserve">300.0</w:t>
            </w:r>
          </w:p>
        </w:tc>
        <w:tc>
          <w:tcPr/>
          <w:p>
            <w:pPr>
              <w:pStyle w:val="Compact"/>
            </w:pPr>
            <w:r>
              <w:rPr>
                <w:b/>
                <w:bCs/>
              </w:rPr>
              <w:t xml:space="preserve">100.0</w:t>
            </w:r>
          </w:p>
        </w:tc>
      </w:tr>
    </w:tbl>
    <w:bookmarkEnd w:id="100"/>
    <w:bookmarkStart w:id="101" w:name="Xc723bd2047889eefd1f82f09f478af8a5a64dd5"/>
    <w:p>
      <w:pPr>
        <w:pStyle w:val="Heading3"/>
      </w:pPr>
      <w:r>
        <w:t xml:space="preserve">Example H — Sublingual lipid-matrix tablet (rapid-onset minoxidil with extended local residence)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4.0</w:t>
            </w:r>
          </w:p>
        </w:tc>
        <w:tc>
          <w:tcPr/>
          <w:p>
            <w:pPr>
              <w:pStyle w:val="Compact"/>
            </w:pPr>
            <w:r>
              <w:t xml:space="preserve">4.0</w:t>
            </w:r>
          </w:p>
        </w:tc>
      </w:tr>
      <w:tr>
        <w:tc>
          <w:tcPr/>
          <w:p>
            <w:pPr>
              <w:pStyle w:val="Compact"/>
            </w:pPr>
            <w:r>
              <w:t xml:space="preserve">Stearoyl polyoxyl-32 glycerides (Gelucire 50/13)</w:t>
            </w:r>
          </w:p>
        </w:tc>
        <w:tc>
          <w:tcPr/>
          <w:p>
            <w:pPr>
              <w:pStyle w:val="Compact"/>
            </w:pPr>
            <w:r>
              <w:t xml:space="preserve">30.0</w:t>
            </w:r>
          </w:p>
        </w:tc>
        <w:tc>
          <w:tcPr/>
          <w:p>
            <w:pPr>
              <w:pStyle w:val="Compact"/>
            </w:pPr>
            <w:r>
              <w:t xml:space="preserve">30.0</w:t>
            </w:r>
          </w:p>
        </w:tc>
      </w:tr>
      <w:tr>
        <w:tc>
          <w:tcPr/>
          <w:p>
            <w:pPr>
              <w:pStyle w:val="Compact"/>
            </w:pPr>
            <w:r>
              <w:t xml:space="preserve">Glyceryl monostearate</w:t>
            </w:r>
          </w:p>
        </w:tc>
        <w:tc>
          <w:tcPr/>
          <w:p>
            <w:pPr>
              <w:pStyle w:val="Compact"/>
            </w:pPr>
            <w:r>
              <w:t xml:space="preserve">20.0</w:t>
            </w:r>
          </w:p>
        </w:tc>
        <w:tc>
          <w:tcPr/>
          <w:p>
            <w:pPr>
              <w:pStyle w:val="Compact"/>
            </w:pPr>
            <w:r>
              <w:t xml:space="preserve">20.0</w:t>
            </w:r>
          </w:p>
        </w:tc>
      </w:tr>
      <w:tr>
        <w:tc>
          <w:tcPr/>
          <w:p>
            <w:pPr>
              <w:pStyle w:val="Compact"/>
            </w:pPr>
            <w:r>
              <w:t xml:space="preserve">Mannitol (Pearlitol 100SD)</w:t>
            </w:r>
          </w:p>
        </w:tc>
        <w:tc>
          <w:tcPr/>
          <w:p>
            <w:pPr>
              <w:pStyle w:val="Compact"/>
            </w:pPr>
            <w:r>
              <w:t xml:space="preserve">30.0</w:t>
            </w:r>
          </w:p>
        </w:tc>
        <w:tc>
          <w:tcPr/>
          <w:p>
            <w:pPr>
              <w:pStyle w:val="Compact"/>
            </w:pPr>
            <w:r>
              <w:t xml:space="preserve">30.0</w:t>
            </w:r>
          </w:p>
        </w:tc>
      </w:tr>
      <w:tr>
        <w:tc>
          <w:tcPr/>
          <w:p>
            <w:pPr>
              <w:pStyle w:val="Compact"/>
            </w:pPr>
            <w:r>
              <w:t xml:space="preserve">Crospovidone</w:t>
            </w:r>
          </w:p>
        </w:tc>
        <w:tc>
          <w:tcPr/>
          <w:p>
            <w:pPr>
              <w:pStyle w:val="Compact"/>
            </w:pPr>
            <w:r>
              <w:t xml:space="preserve">8.0</w:t>
            </w:r>
          </w:p>
        </w:tc>
        <w:tc>
          <w:tcPr/>
          <w:p>
            <w:pPr>
              <w:pStyle w:val="Compact"/>
            </w:pPr>
            <w:r>
              <w:t xml:space="preserve">8.0</w:t>
            </w:r>
          </w:p>
        </w:tc>
      </w:tr>
      <w:tr>
        <w:tc>
          <w:tcPr/>
          <w:p>
            <w:pPr>
              <w:pStyle w:val="Compact"/>
            </w:pPr>
            <w:r>
              <w:t xml:space="preserve">Sodium stearyl fumarate</w:t>
            </w:r>
          </w:p>
        </w:tc>
        <w:tc>
          <w:tcPr/>
          <w:p>
            <w:pPr>
              <w:pStyle w:val="Compact"/>
            </w:pPr>
            <w:r>
              <w:t xml:space="preserve">2.0</w:t>
            </w:r>
          </w:p>
        </w:tc>
        <w:tc>
          <w:tcPr/>
          <w:p>
            <w:pPr>
              <w:pStyle w:val="Compact"/>
            </w:pPr>
            <w:r>
              <w:t xml:space="preserve">2.0</w:t>
            </w:r>
          </w:p>
        </w:tc>
      </w:tr>
      <w:tr>
        <w:tc>
          <w:tcPr/>
          <w:p>
            <w:pPr>
              <w:pStyle w:val="Compact"/>
            </w:pPr>
            <w:r>
              <w:t xml:space="preserve">Sucralose</w:t>
            </w:r>
          </w:p>
        </w:tc>
        <w:tc>
          <w:tcPr/>
          <w:p>
            <w:pPr>
              <w:pStyle w:val="Compact"/>
            </w:pPr>
            <w:r>
              <w:t xml:space="preserve">1.0</w:t>
            </w:r>
          </w:p>
        </w:tc>
        <w:tc>
          <w:tcPr/>
          <w:p>
            <w:pPr>
              <w:pStyle w:val="Compact"/>
            </w:pPr>
            <w:r>
              <w:t xml:space="preserve">1.0</w:t>
            </w:r>
          </w:p>
        </w:tc>
      </w:tr>
      <w:tr>
        <w:tc>
          <w:tcPr/>
          <w:p>
            <w:pPr>
              <w:pStyle w:val="Compact"/>
            </w:pPr>
            <w:r>
              <w:t xml:space="preserve">Mint flavor</w:t>
            </w:r>
          </w:p>
        </w:tc>
        <w:tc>
          <w:tcPr/>
          <w:p>
            <w:pPr>
              <w:pStyle w:val="Compact"/>
            </w:pPr>
            <w:r>
              <w:t xml:space="preserve">1.0</w:t>
            </w:r>
          </w:p>
        </w:tc>
        <w:tc>
          <w:tcPr/>
          <w:p>
            <w:pPr>
              <w:pStyle w:val="Compact"/>
            </w:pPr>
            <w:r>
              <w:t xml:space="preserve">1.0</w:t>
            </w:r>
          </w:p>
        </w:tc>
      </w:tr>
      <w:tr>
        <w:tc>
          <w:tcPr/>
          <w:p>
            <w:pPr>
              <w:pStyle w:val="Compact"/>
            </w:pPr>
            <w:r>
              <w:t xml:space="preserve">Aerosil 200</w:t>
            </w:r>
          </w:p>
        </w:tc>
        <w:tc>
          <w:tcPr/>
          <w:p>
            <w:pPr>
              <w:pStyle w:val="Compact"/>
            </w:pPr>
            <w:r>
              <w:t xml:space="preserve">4.0</w:t>
            </w:r>
          </w:p>
        </w:tc>
        <w:tc>
          <w:tcPr/>
          <w:p>
            <w:pPr>
              <w:pStyle w:val="Compact"/>
            </w:pPr>
            <w:r>
              <w:t xml:space="preserve">4.0</w:t>
            </w:r>
          </w:p>
        </w:tc>
      </w:tr>
      <w:tr>
        <w:tc>
          <w:tcPr/>
          <w:p>
            <w:pPr>
              <w:pStyle w:val="Compact"/>
            </w:pPr>
            <w:r>
              <w:rPr>
                <w:b/>
                <w:bCs/>
              </w:rPr>
              <w:t xml:space="preserve">Total</w:t>
            </w:r>
          </w:p>
        </w:tc>
        <w:tc>
          <w:tcPr/>
          <w:p>
            <w:pPr>
              <w:pStyle w:val="Compact"/>
            </w:pPr>
            <w:r>
              <w:rPr>
                <w:b/>
                <w:bCs/>
              </w:rPr>
              <w:t xml:space="preserve">100.0</w:t>
            </w:r>
          </w:p>
        </w:tc>
        <w:tc>
          <w:tcPr/>
          <w:p>
            <w:pPr>
              <w:pStyle w:val="Compact"/>
            </w:pPr>
            <w:r>
              <w:rPr>
                <w:b/>
                <w:bCs/>
              </w:rPr>
              <w:t xml:space="preserve">100.0</w:t>
            </w:r>
          </w:p>
        </w:tc>
      </w:tr>
    </w:tbl>
    <w:p>
      <w:pPr>
        <w:pStyle w:val="BodyText"/>
      </w:pPr>
      <w:r>
        <w:t xml:space="preserve">Manufactured by melt granulation at 55 °C followed by direct compression to 100 mg sublingual tablets, hardness 3–5 kP.</w:t>
      </w:r>
    </w:p>
    <w:bookmarkEnd w:id="101"/>
    <w:bookmarkStart w:id="102" w:name="Xdc6a21a831dd58238731ad0811883d5b567ed02"/>
    <w:p>
      <w:pPr>
        <w:pStyle w:val="Heading3"/>
      </w:pPr>
      <w:r>
        <w:t xml:space="preserve">Example I — Sprinkle multi-particulate (pediatric or dysphagic adult)</w:t>
      </w:r>
    </w:p>
    <w:p>
      <w:pPr>
        <w:pStyle w:val="FirstParagraph"/>
      </w:pPr>
      <w:r>
        <w:t xml:space="preserve">Lipid-matrix microspheres prepared by spray congealing (§12.3) using: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 w/w</w:t>
            </w:r>
          </w:p>
        </w:tc>
      </w:tr>
      <w:tr>
        <w:tc>
          <w:tcPr/>
          <w:p>
            <w:pPr>
              <w:pStyle w:val="Compact"/>
            </w:pPr>
            <w:r>
              <w:t xml:space="preserve">Minoxidil USP</w:t>
            </w:r>
          </w:p>
        </w:tc>
        <w:tc>
          <w:tcPr/>
          <w:p>
            <w:pPr>
              <w:pStyle w:val="Compact"/>
            </w:pPr>
            <w:r>
              <w:t xml:space="preserve">5.0</w:t>
            </w:r>
          </w:p>
        </w:tc>
      </w:tr>
      <w:tr>
        <w:tc>
          <w:tcPr/>
          <w:p>
            <w:pPr>
              <w:pStyle w:val="Compact"/>
            </w:pPr>
            <w:r>
              <w:t xml:space="preserve">Glyceryl behenate</w:t>
            </w:r>
          </w:p>
        </w:tc>
        <w:tc>
          <w:tcPr/>
          <w:p>
            <w:pPr>
              <w:pStyle w:val="Compact"/>
            </w:pPr>
            <w:r>
              <w:t xml:space="preserve">50.0</w:t>
            </w:r>
          </w:p>
        </w:tc>
      </w:tr>
      <w:tr>
        <w:tc>
          <w:tcPr/>
          <w:p>
            <w:pPr>
              <w:pStyle w:val="Compact"/>
            </w:pPr>
            <w:r>
              <w:t xml:space="preserve">Glyceryl palmitostearate</w:t>
            </w:r>
          </w:p>
        </w:tc>
        <w:tc>
          <w:tcPr/>
          <w:p>
            <w:pPr>
              <w:pStyle w:val="Compact"/>
            </w:pPr>
            <w:r>
              <w:t xml:space="preserve">15.0</w:t>
            </w:r>
          </w:p>
        </w:tc>
      </w:tr>
      <w:tr>
        <w:tc>
          <w:tcPr/>
          <w:p>
            <w:pPr>
              <w:pStyle w:val="Compact"/>
            </w:pPr>
            <w:r>
              <w:t xml:space="preserve">PEG 6000</w:t>
            </w:r>
          </w:p>
        </w:tc>
        <w:tc>
          <w:tcPr/>
          <w:p>
            <w:pPr>
              <w:pStyle w:val="Compact"/>
            </w:pPr>
            <w:r>
              <w:t xml:space="preserve">5.0</w:t>
            </w:r>
          </w:p>
        </w:tc>
      </w:tr>
      <w:tr>
        <w:tc>
          <w:tcPr/>
          <w:p>
            <w:pPr>
              <w:pStyle w:val="Compact"/>
            </w:pPr>
            <w:r>
              <w:t xml:space="preserve">Stearic acid</w:t>
            </w:r>
          </w:p>
        </w:tc>
        <w:tc>
          <w:tcPr/>
          <w:p>
            <w:pPr>
              <w:pStyle w:val="Compact"/>
            </w:pPr>
            <w:r>
              <w:t xml:space="preserve">10.0</w:t>
            </w:r>
          </w:p>
        </w:tc>
      </w:tr>
      <w:tr>
        <w:tc>
          <w:tcPr/>
          <w:p>
            <w:pPr>
              <w:pStyle w:val="Compact"/>
            </w:pPr>
            <w:r>
              <w:t xml:space="preserve">Lecithin</w:t>
            </w:r>
          </w:p>
        </w:tc>
        <w:tc>
          <w:tcPr/>
          <w:p>
            <w:pPr>
              <w:pStyle w:val="Compact"/>
            </w:pPr>
            <w:r>
              <w:t xml:space="preserve">3.0</w:t>
            </w:r>
          </w:p>
        </w:tc>
      </w:tr>
      <w:tr>
        <w:tc>
          <w:tcPr/>
          <w:p>
            <w:pPr>
              <w:pStyle w:val="Compact"/>
            </w:pPr>
            <w:r>
              <w:t xml:space="preserve">Vitamin E TPGS</w:t>
            </w:r>
          </w:p>
        </w:tc>
        <w:tc>
          <w:tcPr/>
          <w:p>
            <w:pPr>
              <w:pStyle w:val="Compact"/>
            </w:pPr>
            <w:r>
              <w:t xml:space="preserve">2.0</w:t>
            </w:r>
          </w:p>
        </w:tc>
      </w:tr>
      <w:tr>
        <w:tc>
          <w:tcPr/>
          <w:p>
            <w:pPr>
              <w:pStyle w:val="Compact"/>
            </w:pPr>
            <w:r>
              <w:t xml:space="preserve">Mannitol</w:t>
            </w:r>
          </w:p>
        </w:tc>
        <w:tc>
          <w:tcPr/>
          <w:p>
            <w:pPr>
              <w:pStyle w:val="Compact"/>
            </w:pPr>
            <w:r>
              <w:t xml:space="preserve">10.0</w:t>
            </w:r>
          </w:p>
        </w:tc>
      </w:tr>
    </w:tbl>
    <w:p>
      <w:pPr>
        <w:pStyle w:val="BodyText"/>
      </w:pPr>
      <w:r>
        <w:t xml:space="preserve">Microsphere size: 100–500 μm. Filled into sprinkle capsules or sachets at 170 mg (= 8.5 mg minoxidil per dose).</w:t>
      </w:r>
    </w:p>
    <w:bookmarkEnd w:id="102"/>
    <w:bookmarkStart w:id="103" w:name="example-j-3d-printed-lipid-matrix"/>
    <w:p>
      <w:pPr>
        <w:pStyle w:val="Heading3"/>
      </w:pPr>
      <w:r>
        <w:t xml:space="preserve">Example J — 3D-printed lipid matrix</w:t>
      </w:r>
    </w:p>
    <w:p>
      <w:pPr>
        <w:pStyle w:val="FirstParagraph"/>
      </w:pPr>
      <w:r>
        <w:t xml:space="preserve">Filament composition: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 w/w</w:t>
            </w:r>
          </w:p>
        </w:tc>
      </w:tr>
      <w:tr>
        <w:tc>
          <w:tcPr/>
          <w:p>
            <w:pPr>
              <w:pStyle w:val="Compact"/>
            </w:pPr>
            <w:r>
              <w:t xml:space="preserve">Minoxidil USP</w:t>
            </w:r>
          </w:p>
        </w:tc>
        <w:tc>
          <w:tcPr/>
          <w:p>
            <w:pPr>
              <w:pStyle w:val="Compact"/>
            </w:pPr>
            <w:r>
              <w:t xml:space="preserve">4.0</w:t>
            </w:r>
          </w:p>
        </w:tc>
      </w:tr>
      <w:tr>
        <w:tc>
          <w:tcPr/>
          <w:p>
            <w:pPr>
              <w:pStyle w:val="Compact"/>
            </w:pPr>
            <w:r>
              <w:t xml:space="preserve">Glyceryl distearate</w:t>
            </w:r>
          </w:p>
        </w:tc>
        <w:tc>
          <w:tcPr/>
          <w:p>
            <w:pPr>
              <w:pStyle w:val="Compact"/>
            </w:pPr>
            <w:r>
              <w:t xml:space="preserve">35.0</w:t>
            </w:r>
          </w:p>
        </w:tc>
      </w:tr>
      <w:tr>
        <w:tc>
          <w:tcPr/>
          <w:p>
            <w:pPr>
              <w:pStyle w:val="Compact"/>
            </w:pPr>
            <w:r>
              <w:t xml:space="preserve">Hydrogenated soybean oil</w:t>
            </w:r>
          </w:p>
        </w:tc>
        <w:tc>
          <w:tcPr/>
          <w:p>
            <w:pPr>
              <w:pStyle w:val="Compact"/>
            </w:pPr>
            <w:r>
              <w:t xml:space="preserve">15.0</w:t>
            </w:r>
          </w:p>
        </w:tc>
      </w:tr>
      <w:tr>
        <w:tc>
          <w:tcPr/>
          <w:p>
            <w:pPr>
              <w:pStyle w:val="Compact"/>
            </w:pPr>
            <w:r>
              <w:t xml:space="preserve">Soluplus</w:t>
            </w:r>
          </w:p>
        </w:tc>
        <w:tc>
          <w:tcPr/>
          <w:p>
            <w:pPr>
              <w:pStyle w:val="Compact"/>
            </w:pPr>
            <w:r>
              <w:t xml:space="preserve">30.0</w:t>
            </w:r>
          </w:p>
        </w:tc>
      </w:tr>
      <w:tr>
        <w:tc>
          <w:tcPr/>
          <w:p>
            <w:pPr>
              <w:pStyle w:val="Compact"/>
            </w:pPr>
            <w:r>
              <w:t xml:space="preserve">PEG 4000</w:t>
            </w:r>
          </w:p>
        </w:tc>
        <w:tc>
          <w:tcPr/>
          <w:p>
            <w:pPr>
              <w:pStyle w:val="Compact"/>
            </w:pPr>
            <w:r>
              <w:t xml:space="preserve">10.0</w:t>
            </w:r>
          </w:p>
        </w:tc>
      </w:tr>
      <w:tr>
        <w:tc>
          <w:tcPr/>
          <w:p>
            <w:pPr>
              <w:pStyle w:val="Compact"/>
            </w:pPr>
            <w:r>
              <w:t xml:space="preserve">Vitamin E TPGS</w:t>
            </w:r>
          </w:p>
        </w:tc>
        <w:tc>
          <w:tcPr/>
          <w:p>
            <w:pPr>
              <w:pStyle w:val="Compact"/>
            </w:pPr>
            <w:r>
              <w:t xml:space="preserve">4.0</w:t>
            </w:r>
          </w:p>
        </w:tc>
      </w:tr>
      <w:tr>
        <w:tc>
          <w:tcPr/>
          <w:p>
            <w:pPr>
              <w:pStyle w:val="Compact"/>
            </w:pPr>
            <w:r>
              <w:t xml:space="preserve">Aerosil 200</w:t>
            </w:r>
          </w:p>
        </w:tc>
        <w:tc>
          <w:tcPr/>
          <w:p>
            <w:pPr>
              <w:pStyle w:val="Compact"/>
            </w:pPr>
            <w:r>
              <w:t xml:space="preserve">2.0</w:t>
            </w:r>
          </w:p>
        </w:tc>
      </w:tr>
    </w:tbl>
    <w:p>
      <w:pPr>
        <w:pStyle w:val="BodyText"/>
      </w:pPr>
      <w:r>
        <w:t xml:space="preserve">Manufactured by HME into 1.75 mm filament; printed by FDM at 90–110 °C nozzle, 30 °C bed; layer height 100 μm; tablet geometries from 100 mg to 600 mg, dose-titrated by infill percentage (10–100%).</w:t>
      </w:r>
    </w:p>
    <w:bookmarkEnd w:id="103"/>
    <w:bookmarkStart w:id="104" w:name="X9ab9577b9a0fdb6cacc1fdce877cb9459ba966b"/>
    <w:p>
      <w:pPr>
        <w:pStyle w:val="Heading3"/>
      </w:pPr>
      <w:r>
        <w:t xml:space="preserve">Example K — Solid lipid nanoparticle (SLN) intra-follicular reservoir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 w/w</w:t>
            </w:r>
          </w:p>
        </w:tc>
      </w:tr>
      <w:tr>
        <w:tc>
          <w:tcPr/>
          <w:p>
            <w:pPr>
              <w:pStyle w:val="Compact"/>
            </w:pPr>
            <w:r>
              <w:t xml:space="preserve">Minoxidil USP</w:t>
            </w:r>
          </w:p>
        </w:tc>
        <w:tc>
          <w:tcPr/>
          <w:p>
            <w:pPr>
              <w:pStyle w:val="Compact"/>
            </w:pPr>
            <w:r>
              <w:t xml:space="preserve">1.5</w:t>
            </w:r>
          </w:p>
        </w:tc>
      </w:tr>
      <w:tr>
        <w:tc>
          <w:tcPr/>
          <w:p>
            <w:pPr>
              <w:pStyle w:val="Compact"/>
            </w:pPr>
            <w:r>
              <w:t xml:space="preserve">Glyceryl behenate</w:t>
            </w:r>
          </w:p>
        </w:tc>
        <w:tc>
          <w:tcPr/>
          <w:p>
            <w:pPr>
              <w:pStyle w:val="Compact"/>
            </w:pPr>
            <w:r>
              <w:t xml:space="preserve">5.0</w:t>
            </w:r>
          </w:p>
        </w:tc>
      </w:tr>
      <w:tr>
        <w:tc>
          <w:tcPr/>
          <w:p>
            <w:pPr>
              <w:pStyle w:val="Compact"/>
            </w:pPr>
            <w:r>
              <w:t xml:space="preserve">Stearic acid</w:t>
            </w:r>
          </w:p>
        </w:tc>
        <w:tc>
          <w:tcPr/>
          <w:p>
            <w:pPr>
              <w:pStyle w:val="Compact"/>
            </w:pPr>
            <w:r>
              <w:t xml:space="preserve">2.0</w:t>
            </w:r>
          </w:p>
        </w:tc>
      </w:tr>
      <w:tr>
        <w:tc>
          <w:tcPr/>
          <w:p>
            <w:pPr>
              <w:pStyle w:val="Compact"/>
            </w:pPr>
            <w:r>
              <w:t xml:space="preserve">Lecithin</w:t>
            </w:r>
          </w:p>
        </w:tc>
        <w:tc>
          <w:tcPr/>
          <w:p>
            <w:pPr>
              <w:pStyle w:val="Compact"/>
            </w:pPr>
            <w:r>
              <w:t xml:space="preserve">1.5</w:t>
            </w:r>
          </w:p>
        </w:tc>
      </w:tr>
      <w:tr>
        <w:tc>
          <w:tcPr/>
          <w:p>
            <w:pPr>
              <w:pStyle w:val="Compact"/>
            </w:pPr>
            <w:r>
              <w:t xml:space="preserve">Poloxamer 188</w:t>
            </w:r>
          </w:p>
        </w:tc>
        <w:tc>
          <w:tcPr/>
          <w:p>
            <w:pPr>
              <w:pStyle w:val="Compact"/>
            </w:pPr>
            <w:r>
              <w:t xml:space="preserve">2.0</w:t>
            </w:r>
          </w:p>
        </w:tc>
      </w:tr>
      <w:tr>
        <w:tc>
          <w:tcPr/>
          <w:p>
            <w:pPr>
              <w:pStyle w:val="Compact"/>
            </w:pPr>
            <w:r>
              <w:t xml:space="preserve">Water (q.s.)</w:t>
            </w:r>
          </w:p>
        </w:tc>
        <w:tc>
          <w:tcPr/>
          <w:p>
            <w:pPr>
              <w:pStyle w:val="Compact"/>
            </w:pPr>
            <w:r>
              <w:t xml:space="preserve">balance</w:t>
            </w:r>
          </w:p>
        </w:tc>
      </w:tr>
    </w:tbl>
    <w:p>
      <w:pPr>
        <w:pStyle w:val="BodyText"/>
      </w:pPr>
      <w:r>
        <w:t xml:space="preserve">Particle size 100–300 nm by hot high-pressure homogenization (1500 bar, 3 cycles, 80 °C). Dispersion suitable for topical scalp application; lipid core provides extended local release.</w:t>
      </w:r>
    </w:p>
    <w:bookmarkEnd w:id="104"/>
    <w:bookmarkStart w:id="105" w:name="Xcf83e69ecf584d21de7693c2c3ebbb519e125e1"/>
    <w:p>
      <w:pPr>
        <w:pStyle w:val="Heading3"/>
      </w:pPr>
      <w:r>
        <w:t xml:space="preserve">Example L — Once-daily (QD) higher-strength lipid matrix tablet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mg/unit</w:t>
            </w:r>
          </w:p>
        </w:tc>
        <w:tc>
          <w:tcPr/>
          <w:p>
            <w:pPr>
              <w:pStyle w:val="Compact"/>
            </w:pPr>
            <w:r>
              <w:t xml:space="preserve">% w/w</w:t>
            </w:r>
          </w:p>
        </w:tc>
      </w:tr>
      <w:tr>
        <w:tc>
          <w:tcPr/>
          <w:p>
            <w:pPr>
              <w:pStyle w:val="Compact"/>
            </w:pPr>
            <w:r>
              <w:t xml:space="preserve">Minoxidil USP</w:t>
            </w:r>
          </w:p>
        </w:tc>
        <w:tc>
          <w:tcPr/>
          <w:p>
            <w:pPr>
              <w:pStyle w:val="Compact"/>
            </w:pPr>
            <w:r>
              <w:t xml:space="preserve">17.0</w:t>
            </w:r>
          </w:p>
        </w:tc>
        <w:tc>
          <w:tcPr/>
          <w:p>
            <w:pPr>
              <w:pStyle w:val="Compact"/>
            </w:pPr>
            <w:r>
              <w:t xml:space="preserve">4.86</w:t>
            </w:r>
          </w:p>
        </w:tc>
      </w:tr>
      <w:tr>
        <w:tc>
          <w:tcPr/>
          <w:p>
            <w:pPr>
              <w:pStyle w:val="Compact"/>
            </w:pPr>
            <w:r>
              <w:t xml:space="preserve">Glyceryl behenate</w:t>
            </w:r>
          </w:p>
        </w:tc>
        <w:tc>
          <w:tcPr/>
          <w:p>
            <w:pPr>
              <w:pStyle w:val="Compact"/>
            </w:pPr>
            <w:r>
              <w:t xml:space="preserve">175.0</w:t>
            </w:r>
          </w:p>
        </w:tc>
        <w:tc>
          <w:tcPr/>
          <w:p>
            <w:pPr>
              <w:pStyle w:val="Compact"/>
            </w:pPr>
            <w:r>
              <w:t xml:space="preserve">50.0</w:t>
            </w:r>
          </w:p>
        </w:tc>
      </w:tr>
      <w:tr>
        <w:tc>
          <w:tcPr/>
          <w:p>
            <w:pPr>
              <w:pStyle w:val="Compact"/>
            </w:pPr>
            <w:r>
              <w:t xml:space="preserve">Glyceryl palmitostearate</w:t>
            </w:r>
          </w:p>
        </w:tc>
        <w:tc>
          <w:tcPr/>
          <w:p>
            <w:pPr>
              <w:pStyle w:val="Compact"/>
            </w:pPr>
            <w:r>
              <w:t xml:space="preserve">45.0</w:t>
            </w:r>
          </w:p>
        </w:tc>
        <w:tc>
          <w:tcPr/>
          <w:p>
            <w:pPr>
              <w:pStyle w:val="Compact"/>
            </w:pPr>
            <w:r>
              <w:t xml:space="preserve">12.86</w:t>
            </w:r>
          </w:p>
        </w:tc>
      </w:tr>
      <w:tr>
        <w:tc>
          <w:tcPr/>
          <w:p>
            <w:pPr>
              <w:pStyle w:val="Compact"/>
            </w:pPr>
            <w:r>
              <w:t xml:space="preserve">Carnauba wax</w:t>
            </w:r>
          </w:p>
        </w:tc>
        <w:tc>
          <w:tcPr/>
          <w:p>
            <w:pPr>
              <w:pStyle w:val="Compact"/>
            </w:pPr>
            <w:r>
              <w:t xml:space="preserve">15.0</w:t>
            </w:r>
          </w:p>
        </w:tc>
        <w:tc>
          <w:tcPr/>
          <w:p>
            <w:pPr>
              <w:pStyle w:val="Compact"/>
            </w:pPr>
            <w:r>
              <w:t xml:space="preserve">4.29</w:t>
            </w:r>
          </w:p>
        </w:tc>
      </w:tr>
      <w:tr>
        <w:tc>
          <w:tcPr/>
          <w:p>
            <w:pPr>
              <w:pStyle w:val="Compact"/>
            </w:pPr>
            <w:r>
              <w:t xml:space="preserve">PEG 6000</w:t>
            </w:r>
          </w:p>
        </w:tc>
        <w:tc>
          <w:tcPr/>
          <w:p>
            <w:pPr>
              <w:pStyle w:val="Compact"/>
            </w:pPr>
            <w:r>
              <w:t xml:space="preserve">17.5</w:t>
            </w:r>
          </w:p>
        </w:tc>
        <w:tc>
          <w:tcPr/>
          <w:p>
            <w:pPr>
              <w:pStyle w:val="Compact"/>
            </w:pPr>
            <w:r>
              <w:t xml:space="preserve">5.0</w:t>
            </w:r>
          </w:p>
        </w:tc>
      </w:tr>
      <w:tr>
        <w:tc>
          <w:tcPr/>
          <w:p>
            <w:pPr>
              <w:pStyle w:val="Compact"/>
            </w:pPr>
            <w:r>
              <w:t xml:space="preserve">Microcrystalline cellulose</w:t>
            </w:r>
          </w:p>
        </w:tc>
        <w:tc>
          <w:tcPr/>
          <w:p>
            <w:pPr>
              <w:pStyle w:val="Compact"/>
            </w:pPr>
            <w:r>
              <w:t xml:space="preserve">60.0</w:t>
            </w:r>
          </w:p>
        </w:tc>
        <w:tc>
          <w:tcPr/>
          <w:p>
            <w:pPr>
              <w:pStyle w:val="Compact"/>
            </w:pPr>
            <w:r>
              <w:t xml:space="preserve">17.14</w:t>
            </w:r>
          </w:p>
        </w:tc>
      </w:tr>
      <w:tr>
        <w:tc>
          <w:tcPr/>
          <w:p>
            <w:pPr>
              <w:pStyle w:val="Compact"/>
            </w:pPr>
            <w:r>
              <w:t xml:space="preserve">Lactose monohydrate</w:t>
            </w:r>
          </w:p>
        </w:tc>
        <w:tc>
          <w:tcPr/>
          <w:p>
            <w:pPr>
              <w:pStyle w:val="Compact"/>
            </w:pPr>
            <w:r>
              <w:t xml:space="preserve">12.5</w:t>
            </w:r>
          </w:p>
        </w:tc>
        <w:tc>
          <w:tcPr/>
          <w:p>
            <w:pPr>
              <w:pStyle w:val="Compact"/>
            </w:pPr>
            <w:r>
              <w:t xml:space="preserve">3.57</w:t>
            </w:r>
          </w:p>
        </w:tc>
      </w:tr>
      <w:tr>
        <w:tc>
          <w:tcPr/>
          <w:p>
            <w:pPr>
              <w:pStyle w:val="Compact"/>
            </w:pPr>
            <w:r>
              <w:t xml:space="preserve">Poloxamer 188</w:t>
            </w:r>
          </w:p>
        </w:tc>
        <w:tc>
          <w:tcPr/>
          <w:p>
            <w:pPr>
              <w:pStyle w:val="Compact"/>
            </w:pPr>
            <w:r>
              <w:t xml:space="preserve">5.25</w:t>
            </w:r>
          </w:p>
        </w:tc>
        <w:tc>
          <w:tcPr/>
          <w:p>
            <w:pPr>
              <w:pStyle w:val="Compact"/>
            </w:pPr>
            <w:r>
              <w:t xml:space="preserve">1.5</w:t>
            </w:r>
          </w:p>
        </w:tc>
      </w:tr>
      <w:tr>
        <w:tc>
          <w:tcPr/>
          <w:p>
            <w:pPr>
              <w:pStyle w:val="Compact"/>
            </w:pPr>
            <w:r>
              <w:t xml:space="preserve">Colloidal silicon dioxide</w:t>
            </w:r>
          </w:p>
        </w:tc>
        <w:tc>
          <w:tcPr/>
          <w:p>
            <w:pPr>
              <w:pStyle w:val="Compact"/>
            </w:pPr>
            <w:r>
              <w:t xml:space="preserve">7.0</w:t>
            </w:r>
          </w:p>
        </w:tc>
        <w:tc>
          <w:tcPr/>
          <w:p>
            <w:pPr>
              <w:pStyle w:val="Compact"/>
            </w:pPr>
            <w:r>
              <w:t xml:space="preserve">2.0</w:t>
            </w:r>
          </w:p>
        </w:tc>
      </w:tr>
      <w:tr>
        <w:tc>
          <w:tcPr/>
          <w:p>
            <w:pPr>
              <w:pStyle w:val="Compact"/>
            </w:pPr>
            <w:r>
              <w:t xml:space="preserve">Magnesium stearate</w:t>
            </w:r>
          </w:p>
        </w:tc>
        <w:tc>
          <w:tcPr/>
          <w:p>
            <w:pPr>
              <w:pStyle w:val="Compact"/>
            </w:pPr>
            <w:r>
              <w:t xml:space="preserve">7.5</w:t>
            </w:r>
          </w:p>
        </w:tc>
        <w:tc>
          <w:tcPr/>
          <w:p>
            <w:pPr>
              <w:pStyle w:val="Compact"/>
            </w:pPr>
            <w:r>
              <w:t xml:space="preserve">2.14</w:t>
            </w:r>
          </w:p>
        </w:tc>
      </w:tr>
      <w:tr>
        <w:tc>
          <w:tcPr/>
          <w:p>
            <w:pPr>
              <w:pStyle w:val="Compact"/>
            </w:pPr>
            <w:r>
              <w:t xml:space="preserve">Vitamin E</w:t>
            </w:r>
          </w:p>
        </w:tc>
        <w:tc>
          <w:tcPr/>
          <w:p>
            <w:pPr>
              <w:pStyle w:val="Compact"/>
            </w:pPr>
            <w:r>
              <w:t xml:space="preserve">3.5</w:t>
            </w:r>
          </w:p>
        </w:tc>
        <w:tc>
          <w:tcPr/>
          <w:p>
            <w:pPr>
              <w:pStyle w:val="Compact"/>
            </w:pPr>
            <w:r>
              <w:t xml:space="preserve">1.0</w:t>
            </w:r>
          </w:p>
        </w:tc>
      </w:tr>
      <w:tr>
        <w:tc>
          <w:tcPr/>
          <w:p>
            <w:pPr>
              <w:pStyle w:val="Compact"/>
            </w:pPr>
            <w:r>
              <w:t xml:space="preserve">Annealed at 60 °C / 24 h.</w:t>
            </w:r>
          </w:p>
        </w:tc>
        <w:tc>
          <w:tcPr/>
          <w:p>
            <w:pPr>
              <w:pStyle w:val="Compact"/>
            </w:pPr>
          </w:p>
        </w:tc>
        <w:tc>
          <w:tcPr/>
          <w:p>
            <w:pPr>
              <w:pStyle w:val="Compact"/>
            </w:pPr>
          </w:p>
        </w:tc>
      </w:tr>
      <w:tr>
        <w:tc>
          <w:tcPr/>
          <w:p>
            <w:pPr>
              <w:pStyle w:val="Compact"/>
            </w:pPr>
            <w:r>
              <w:rPr>
                <w:b/>
                <w:bCs/>
              </w:rPr>
              <w:t xml:space="preserve">Total</w:t>
            </w:r>
          </w:p>
        </w:tc>
        <w:tc>
          <w:tcPr/>
          <w:p>
            <w:pPr>
              <w:pStyle w:val="Compact"/>
            </w:pPr>
            <w:r>
              <w:rPr>
                <w:b/>
                <w:bCs/>
              </w:rPr>
              <w:t xml:space="preserve">350.0</w:t>
            </w:r>
          </w:p>
        </w:tc>
        <w:tc>
          <w:tcPr/>
          <w:p>
            <w:pPr>
              <w:pStyle w:val="Compact"/>
            </w:pPr>
            <w:r>
              <w:rPr>
                <w:b/>
                <w:bCs/>
              </w:rPr>
              <w:t xml:space="preserve">100.0</w:t>
            </w:r>
          </w:p>
        </w:tc>
      </w:tr>
    </w:tbl>
    <w:p>
      <w:pPr>
        <w:pStyle w:val="BodyText"/>
      </w:pPr>
      <w:r>
        <w:t xml:space="preserve">Designed for QD dosing with target Cmax 6–10 ng/mL, Tmax 4–6 h, effective concentration sustained ≥18 h.</w:t>
      </w:r>
    </w:p>
    <w:p>
      <w:r>
        <w:pict>
          <v:rect style="width:0;height:1.5pt" o:hralign="center" o:hrstd="t" o:hr="t"/>
        </w:pict>
      </w:r>
    </w:p>
    <w:bookmarkEnd w:id="105"/>
    <w:bookmarkEnd w:id="106"/>
    <w:bookmarkStart w:id="107" w:name="scope-expansion-clause"/>
    <w:p>
      <w:pPr>
        <w:pStyle w:val="Heading2"/>
      </w:pPr>
      <w:r>
        <w:t xml:space="preserve">19. SCOPE-EXPANSION CLAUSE</w:t>
      </w:r>
    </w:p>
    <w:p>
      <w:pPr>
        <w:pStyle w:val="FirstParagraph"/>
      </w:pPr>
      <w:r>
        <w:t xml:space="preserve">The disclosed subject matter expressly includes:</w:t>
      </w:r>
    </w:p>
    <w:p>
      <w:pPr>
        <w:pStyle w:val="Compact"/>
        <w:numPr>
          <w:ilvl w:val="0"/>
          <w:numId w:val="1009"/>
        </w:numPr>
      </w:pPr>
      <w:r>
        <w:t xml:space="preserve">all sub-ranges contained within any range disclosed herein;</w:t>
      </w:r>
    </w:p>
    <w:p>
      <w:pPr>
        <w:pStyle w:val="Compact"/>
        <w:numPr>
          <w:ilvl w:val="0"/>
          <w:numId w:val="1009"/>
        </w:numPr>
      </w:pPr>
      <w:r>
        <w:t xml:space="preserve">all integer and 0.1% w/w increments within any range;</w:t>
      </w:r>
    </w:p>
    <w:p>
      <w:pPr>
        <w:pStyle w:val="Compact"/>
        <w:numPr>
          <w:ilvl w:val="0"/>
          <w:numId w:val="1009"/>
        </w:numPr>
      </w:pPr>
      <w:r>
        <w:t xml:space="preserve">all individual species within any genus or Markush group;</w:t>
      </w:r>
    </w:p>
    <w:p>
      <w:pPr>
        <w:pStyle w:val="Compact"/>
        <w:numPr>
          <w:ilvl w:val="0"/>
          <w:numId w:val="1009"/>
        </w:numPr>
      </w:pPr>
      <w:r>
        <w:t xml:space="preserve">all combinations, permutations, and ratios of any two or more components, sub-genera, or species disclosed herein;</w:t>
      </w:r>
    </w:p>
    <w:p>
      <w:pPr>
        <w:pStyle w:val="Compact"/>
        <w:numPr>
          <w:ilvl w:val="0"/>
          <w:numId w:val="1009"/>
        </w:numPr>
      </w:pPr>
      <w:r>
        <w:t xml:space="preserve">all dosage forms (§13) of all compositions (§4–§11) made by all processes (§12) for all APIs (§10) treating all indications (§16) in all patient populations (§16);</w:t>
      </w:r>
    </w:p>
    <w:p>
      <w:pPr>
        <w:pStyle w:val="Compact"/>
        <w:numPr>
          <w:ilvl w:val="0"/>
          <w:numId w:val="1009"/>
        </w:numPr>
      </w:pPr>
      <w:r>
        <w:t xml:space="preserve">any pharmaceutically acceptable salt, solvate, hydrate, polymorph, co-crystal, prodrug, isomer, enantiomer, racemate, deuterated form, or isotopologue of any disclosed API;</w:t>
      </w:r>
    </w:p>
    <w:p>
      <w:pPr>
        <w:pStyle w:val="Compact"/>
        <w:numPr>
          <w:ilvl w:val="0"/>
          <w:numId w:val="1009"/>
        </w:numPr>
      </w:pPr>
      <w:r>
        <w:t xml:space="preserve">any equivalent commercial excipient grade from any manufacturer (current or future) that meets the same compendial monograph (USP, EP, JP, BP) or substantially equivalent specification;</w:t>
      </w:r>
    </w:p>
    <w:p>
      <w:pPr>
        <w:pStyle w:val="Compact"/>
        <w:numPr>
          <w:ilvl w:val="0"/>
          <w:numId w:val="1009"/>
        </w:numPr>
      </w:pPr>
      <w:r>
        <w:t xml:space="preserve">any equivalent process equipment from any manufacturer achieving substantially the same lipid-matrix solid form;</w:t>
      </w:r>
    </w:p>
    <w:p>
      <w:pPr>
        <w:pStyle w:val="Compact"/>
        <w:numPr>
          <w:ilvl w:val="0"/>
          <w:numId w:val="1009"/>
        </w:numPr>
      </w:pPr>
      <w:r>
        <w:t xml:space="preserve">any combination of two or more enumerated embodiments (§17);</w:t>
      </w:r>
    </w:p>
    <w:p>
      <w:pPr>
        <w:pStyle w:val="Compact"/>
        <w:numPr>
          <w:ilvl w:val="0"/>
          <w:numId w:val="1009"/>
        </w:numPr>
      </w:pPr>
      <w:r>
        <w:t xml:space="preserve">any composition described herein further comprising any pharmaceutically acceptable additive at a level consistent with regulatory and compendial standards.</w:t>
      </w:r>
    </w:p>
    <w:p>
      <w:pPr>
        <w:pStyle w:val="FirstParagraph"/>
      </w:pPr>
      <w:r>
        <w:t xml:space="preserve">To the extent any subject matter is not literally enumerated herein but would be obvious to a person of ordinary skill in the pharmaceutical formulation arts in view of the explicit disclosure, such subject matter is also intended to be placed in the public domain by this publication.</w:t>
      </w:r>
    </w:p>
    <w:p>
      <w:r>
        <w:pict>
          <v:rect style="width:0;height:1.5pt" o:hralign="center" o:hrstd="t" o:hr="t"/>
        </w:pict>
      </w:r>
    </w:p>
    <w:bookmarkEnd w:id="107"/>
    <w:bookmarkStart w:id="108" w:name="prior-art-effective-date"/>
    <w:p>
      <w:pPr>
        <w:pStyle w:val="Heading2"/>
      </w:pPr>
      <w:r>
        <w:t xml:space="preserve">20. PRIOR-ART EFFECTIVE DATE</w:t>
      </w:r>
    </w:p>
    <w:p>
      <w:pPr>
        <w:pStyle w:val="FirstParagraph"/>
      </w:pPr>
      <w:r>
        <w:t xml:space="preserve">This publication, including all sections and worked examples herein, is publicly available via: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Date</w:t>
            </w:r>
          </w:p>
        </w:tc>
        <w:tc>
          <w:tcPr/>
          <w:p>
            <w:pPr>
              <w:pStyle w:val="Compact"/>
            </w:pPr>
            <w:r>
              <w:t xml:space="preserve">URL / Evidence</w:t>
            </w:r>
          </w:p>
        </w:tc>
      </w:tr>
      <w:tr>
        <w:tc>
          <w:tcPr/>
          <w:p>
            <w:pPr>
              <w:pStyle w:val="Compact"/>
            </w:pPr>
            <w:r>
              <w:t xml:space="preserve">GitHub (this repository, public commit)</w:t>
            </w:r>
          </w:p>
        </w:tc>
        <w:tc>
          <w:tcPr/>
          <w:p>
            <w:pPr>
              <w:pStyle w:val="Compact"/>
            </w:pPr>
            <w:r>
              <w:t xml:space="preserve">May 4, 2026</w:t>
            </w:r>
          </w:p>
        </w:tc>
        <w:tc>
          <w:tcPr/>
          <w:p>
            <w:pPr>
              <w:pStyle w:val="Compact"/>
            </w:pPr>
            <w:r>
              <w:t xml:space="preserve">https://github.com/apbakst/lipid-matrix-er-disclosures</w:t>
            </w:r>
          </w:p>
        </w:tc>
      </w:tr>
      <w:tr>
        <w:tc>
          <w:tcPr/>
          <w:p>
            <w:pPr>
              <w:pStyle w:val="Compact"/>
            </w:pPr>
            <w:r>
              <w:t xml:space="preserve">Archive.org (Wayback Machine snapshot)</w:t>
            </w:r>
          </w:p>
        </w:tc>
        <w:tc>
          <w:tcPr/>
          <w:p>
            <w:pPr>
              <w:pStyle w:val="Compact"/>
            </w:pPr>
            <w:r>
              <w:t xml:space="preserve">(to be captured upon publication)</w:t>
            </w:r>
          </w:p>
        </w:tc>
        <w:tc>
          <w:tcPr/>
          <w:p>
            <w:pPr>
              <w:pStyle w:val="Compact"/>
            </w:pPr>
            <w:r>
              <w:t xml:space="preserve">https://web.archive.org</w:t>
            </w:r>
          </w:p>
        </w:tc>
      </w:tr>
      <w:tr>
        <w:tc>
          <w:tcPr/>
          <w:p>
            <w:pPr>
              <w:pStyle w:val="Compact"/>
            </w:pPr>
            <w:r>
              <w:t xml:space="preserve">File hashes (SHA-256, this file)</w:t>
            </w:r>
          </w:p>
        </w:tc>
        <w:tc>
          <w:tcPr/>
          <w:p>
            <w:pPr>
              <w:pStyle w:val="Compact"/>
            </w:pPr>
            <w:r>
              <w:t xml:space="preserve">(computed at commit)</w:t>
            </w:r>
          </w:p>
        </w:tc>
        <w:tc>
          <w:tcPr/>
          <w:p>
            <w:pPr>
              <w:pStyle w:val="Compact"/>
            </w:pPr>
            <w:r>
              <w:rPr>
                <w:rStyle w:val="VerbatimChar"/>
              </w:rPr>
              <w:t xml:space="preserve">FILE_HASHES.txt</w:t>
            </w:r>
          </w:p>
        </w:tc>
      </w:tr>
    </w:tbl>
    <w:p>
      <w:pPr>
        <w:pStyle w:val="BodyText"/>
      </w:pPr>
      <w:r>
        <w:t xml:space="preserve">Combined with the prior disclosures of February 4, 2026 (also in this repository), this expansion establishes prior art under 35 U.S.C. § 102(a)(1), EPC Article 54, and analogous provisions in other jurisdictions.</w:t>
      </w:r>
    </w:p>
    <w:p>
      <w:r>
        <w:pict>
          <v:rect style="width:0;height:1.5pt" o:hralign="center" o:hrstd="t" o:hr="t"/>
        </w:pict>
      </w:r>
    </w:p>
    <w:bookmarkEnd w:id="108"/>
    <w:bookmarkStart w:id="109" w:name="license"/>
    <w:p>
      <w:pPr>
        <w:pStyle w:val="Heading2"/>
      </w:pPr>
      <w:r>
        <w:t xml:space="preserve">21. LICENSE</w:t>
      </w:r>
    </w:p>
    <w:p>
      <w:pPr>
        <w:pStyle w:val="FirstParagraph"/>
      </w:pPr>
      <w:r>
        <w:t xml:space="preserve">Written content of this document is dedicated to the public domain under</w:t>
      </w:r>
      <w:r>
        <w:t xml:space="preserve"> </w:t>
      </w:r>
      <w:hyperlink r:id="rId11">
        <w:r>
          <w:rPr>
            <w:rStyle w:val="Hyperlink"/>
          </w:rPr>
          <w:t xml:space="preserve">CC0 1.0 Universal</w:t>
        </w:r>
      </w:hyperlink>
      <w:r>
        <w:t xml:space="preserve">. To the extent possible under law, the author has waived all copyright and related or neighboring rights to the written content of this work. As noted in CC0 §4(a), trademark rights and any patent rights of the discloser are not waived; the discloser reserves the inventor grace period under 35 U.S.C. § 102(b)(1)(A).</w:t>
      </w:r>
    </w:p>
    <w:p>
      <w:r>
        <w:pict>
          <v:rect style="width:0;height:1.5pt" o:hralign="center" o:hrstd="t" o:hr="t"/>
        </w:pict>
      </w:r>
    </w:p>
    <w:p>
      <w:pPr>
        <w:pStyle w:val="FirstParagraph"/>
      </w:pPr>
      <w:r>
        <w:rPr>
          <w:i/>
          <w:iCs/>
        </w:rPr>
        <w:t xml:space="preserve">Prepared and published: May 4, 2026 by</w:t>
      </w:r>
      <w:r>
        <w:rPr>
          <w:i/>
          <w:iCs/>
        </w:rPr>
        <w:t xml:space="preserve"> </w:t>
      </w:r>
      <w:hyperlink r:id="rId9">
        <w:r>
          <w:rPr>
            <w:rStyle w:val="Hyperlink"/>
            <w:i/>
            <w:iCs/>
          </w:rPr>
          <w:t xml:space="preserve">@apbakst</w:t>
        </w:r>
      </w:hyperlink>
      <w:r>
        <w:rPr>
          <w:i/>
          <w:iCs/>
        </w:rPr>
        <w:t xml:space="preserve">.</w:t>
      </w:r>
    </w:p>
    <w:p>
      <w:pPr>
        <w:pStyle w:val="BodyText"/>
      </w:pPr>
      <w:r>
        <w:rPr>
          <w:i/>
          <w:iCs/>
        </w:rPr>
        <w:t xml:space="preserve">This is a technical disclosure for prior-art purposes. It is not medical advice. Compositions, processes, and combinations described herein have not been evaluated by any regulatory authority. Any clinical use requires appropriate regulatory authorization.</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reativecommons.org/publicdomain/zero/1.0/" TargetMode="External" /><Relationship Type="http://schemas.openxmlformats.org/officeDocument/2006/relationships/hyperlink" Id="rId9" Target="https://github.com/apbakst" TargetMode="External" /></Relationships>
</file>

<file path=word/_rels/footnotes.xml.rels><?xml version="1.0" encoding="UTF-8"?><Relationships xmlns="http://schemas.openxmlformats.org/package/2006/relationships"><Relationship Type="http://schemas.openxmlformats.org/officeDocument/2006/relationships/hyperlink" Id="rId11" Target="https://creativecommons.org/publicdomain/zero/1.0/" TargetMode="External" /><Relationship Type="http://schemas.openxmlformats.org/officeDocument/2006/relationships/hyperlink" Id="rId9" Target="https://github.com/apbak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2026-05-04T17:02:49Z</dcterms:created>
  <dcterms:modified xsi:type="dcterms:W3CDTF">2026-05-04T17:02:49Z</dcterms:modified>
</cp:coreProperties>
</file>

<file path=docProps/custom.xml><?xml version="1.0" encoding="utf-8"?>
<Properties xmlns="http://schemas.openxmlformats.org/officeDocument/2006/custom-properties" xmlns:vt="http://schemas.openxmlformats.org/officeDocument/2006/docPropsVTypes"/>
</file>