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X0f76fe46f0b68b0a8282b54938793463877c1ae"/>
    <w:p>
      <w:pPr>
        <w:pStyle w:val="Heading1"/>
      </w:pPr>
      <w:r>
        <w:t xml:space="preserve">Multi-Architectural Modified-Release Oral Minoxidil for Hair Loss — Defensive Publication (Companion Disclosure)</w:t>
      </w:r>
    </w:p>
    <w:bookmarkStart w:id="10" w:name="defensive-publication-notice"/>
    <w:p>
      <w:pPr>
        <w:pStyle w:val="Heading2"/>
      </w:pPr>
      <w:r>
        <w:t xml:space="preserve">DEFENSIVE PUBLICATION NOTICE</w:t>
      </w:r>
    </w:p>
    <w:p>
      <w:pPr>
        <w:pStyle w:val="FirstParagraph"/>
      </w:pPr>
      <w:r>
        <w:rPr>
          <w:b/>
          <w:bCs/>
        </w:rPr>
        <w:t xml:space="preserve">Date of Public Disclosure:</w:t>
      </w:r>
      <w:r>
        <w:t xml:space="preserve"> </w:t>
      </w:r>
      <w:r>
        <w:t xml:space="preserve">May 5, 2026</w:t>
      </w:r>
    </w:p>
    <w:p>
      <w:pPr>
        <w:pStyle w:val="BodyText"/>
      </w:pPr>
      <w:r>
        <w:rPr>
          <w:b/>
          <w:bCs/>
        </w:rPr>
        <w:t xml:space="preserve">Title:</w:t>
      </w:r>
      <w:r>
        <w:t xml:space="preserve"> </w:t>
      </w:r>
      <w:r>
        <w:t xml:space="preserve">Multi-Architectural Modified-Release Oral Minoxidil Compositions, Manufacturing Processes, Combination Therapies, and Methods of Use for Hair Loss — Defensive Publication Companion to the Lipid Matrix Genus Disclosure</w:t>
      </w:r>
    </w:p>
    <w:p>
      <w:pPr>
        <w:pStyle w:val="BodyText"/>
      </w:pPr>
      <w:r>
        <w:rPr>
          <w:b/>
          <w:bCs/>
        </w:rPr>
        <w:t xml:space="preserve">Discloser:</w:t>
      </w:r>
      <w:r>
        <w:t xml:space="preserve"> </w:t>
      </w:r>
      <w:hyperlink r:id="rId9">
        <w:r>
          <w:rPr>
            <w:rStyle w:val="Hyperlink"/>
          </w:rPr>
          <w:t xml:space="preserve">@apbakst</w:t>
        </w:r>
      </w:hyperlink>
    </w:p>
    <w:p>
      <w:pPr>
        <w:pStyle w:val="BodyText"/>
      </w:pPr>
      <w:r>
        <w:rPr>
          <w:b/>
          <w:bCs/>
        </w:rPr>
        <w:t xml:space="preserve">Relationship to prior disclosures:</w:t>
      </w:r>
      <w:r>
        <w:t xml:space="preserve"> </w:t>
      </w:r>
      <w:r>
        <w:t xml:space="preserve">This document is a companion to and broadening of:</w:t>
      </w:r>
      <w:r>
        <w:t xml:space="preserve"> </w:t>
      </w:r>
      <w:r>
        <w:t xml:space="preserve">-</w:t>
      </w:r>
      <w:r>
        <w:t xml:space="preserve"> </w:t>
      </w:r>
      <w:r>
        <w:rPr>
          <w:rStyle w:val="VerbatimChar"/>
        </w:rPr>
        <w:t xml:space="preserve">Lipid_Matrix_Genus_Disclosure.md</w:t>
      </w:r>
      <w:r>
        <w:t xml:space="preserve"> </w:t>
      </w:r>
      <w:r>
        <w:t xml:space="preserve">(May 4, 2026)</w:t>
      </w:r>
      <w:r>
        <w:t xml:space="preserve"> </w:t>
      </w:r>
      <w:r>
        <w:t xml:space="preserve">-</w:t>
      </w:r>
      <w:r>
        <w:t xml:space="preserve"> </w:t>
      </w:r>
      <w:r>
        <w:rPr>
          <w:rStyle w:val="VerbatimChar"/>
        </w:rPr>
        <w:t xml:space="preserve">Compritol_Lipid_Matrix_pH_Dependent_Release_Disclosure.md</w:t>
      </w:r>
      <w:r>
        <w:t xml:space="preserve"> </w:t>
      </w:r>
      <w:r>
        <w:t xml:space="preserve">(May 4, 2026)</w:t>
      </w:r>
      <w:r>
        <w:t xml:space="preserve"> </w:t>
      </w:r>
      <w:r>
        <w:t xml:space="preserve">-</w:t>
      </w:r>
      <w:r>
        <w:t xml:space="preserve"> </w:t>
      </w:r>
      <w:r>
        <w:rPr>
          <w:rStyle w:val="VerbatimChar"/>
        </w:rPr>
        <w:t xml:space="preserve">Minoxidil_ER_Formulations.md</w:t>
      </w:r>
      <w:r>
        <w:t xml:space="preserve"> </w:t>
      </w:r>
      <w:r>
        <w:t xml:space="preserve">(February 4, 2026)</w:t>
      </w:r>
    </w:p>
    <w:p>
      <w:pPr>
        <w:pStyle w:val="BodyText"/>
      </w:pPr>
      <w:r>
        <w:t xml:space="preserve">The prior disclosures place lipid-matrix tablet architectures into the public domain. This companion disclosure expands the public-domain genus to</w:t>
      </w:r>
      <w:r>
        <w:t xml:space="preserve"> </w:t>
      </w:r>
      <w:r>
        <w:rPr>
          <w:b/>
          <w:bCs/>
        </w:rPr>
        <w:t xml:space="preserve">all other modified-release oral dosage-form architectures</w:t>
      </w:r>
      <w:r>
        <w:t xml:space="preserve"> </w:t>
      </w:r>
      <w:r>
        <w:t xml:space="preserve">for minoxidil and related hair-loss APIs that are not addressed in the lipid-matrix disclosures.</w:t>
      </w:r>
    </w:p>
    <w:p>
      <w:r>
        <w:pict>
          <v:rect style="width:0;height:1.5pt" o:hralign="center" o:hrstd="t" o:hr="t"/>
        </w:pict>
      </w:r>
    </w:p>
    <w:bookmarkEnd w:id="10"/>
    <w:bookmarkStart w:id="12" w:name="purpose-and-legal-statement"/>
    <w:p>
      <w:pPr>
        <w:pStyle w:val="Heading2"/>
      </w:pPr>
      <w:r>
        <w:t xml:space="preserve">1. PURPOSE AND LEGAL STATEMENT</w:t>
      </w:r>
    </w:p>
    <w:p>
      <w:pPr>
        <w:pStyle w:val="FirstParagraph"/>
      </w:pPr>
      <w:r>
        <w:t xml:space="preserve">This technical disclosure is published to:</w:t>
      </w:r>
    </w:p>
    <w:p>
      <w:pPr>
        <w:pStyle w:val="Compact"/>
        <w:numPr>
          <w:ilvl w:val="0"/>
          <w:numId w:val="1001"/>
        </w:numPr>
      </w:pPr>
      <w:r>
        <w:t xml:space="preserve">Establish prior art under 35 U.S.C. § 102(a)(1) for all subject matter described or reasonably suggested herein.</w:t>
      </w:r>
    </w:p>
    <w:p>
      <w:pPr>
        <w:pStyle w:val="Compact"/>
        <w:numPr>
          <w:ilvl w:val="0"/>
          <w:numId w:val="1001"/>
        </w:numPr>
      </w:pPr>
      <w:r>
        <w:t xml:space="preserve">Place the disclosed dosage-form architectures, manufacturing processes, combination therapies, dose-response and pharmacokinetic envelopes, and methods of use into the public domain.</w:t>
      </w:r>
    </w:p>
    <w:p>
      <w:pPr>
        <w:pStyle w:val="Compact"/>
        <w:numPr>
          <w:ilvl w:val="0"/>
          <w:numId w:val="1001"/>
        </w:numPr>
      </w:pPr>
      <w:r>
        <w:t xml:space="preserve">Foreclose third-party patenting of the disclosed subject matter in the United States, the European Patent Office (EPC Art. 54), and other jurisdictions recognizing printed publications as prior art.</w:t>
      </w:r>
    </w:p>
    <w:p>
      <w:pPr>
        <w:pStyle w:val="FirstParagraph"/>
      </w:pPr>
      <w:r>
        <w:t xml:space="preserve">The discloser hereby dedicates all written content of this document to the public domain under</w:t>
      </w:r>
      <w:r>
        <w:t xml:space="preserve"> </w:t>
      </w:r>
      <w:hyperlink r:id="rId11">
        <w:r>
          <w:rPr>
            <w:rStyle w:val="Hyperlink"/>
          </w:rPr>
          <w:t xml:space="preserve">CC0 1.0 Universal</w:t>
        </w:r>
      </w:hyperlink>
      <w:r>
        <w:t xml:space="preserve">. Any person or entity is free to use, manufacture, sell, import, export, and commercialize the disclosed subject matter without license or royalty.</w:t>
      </w:r>
    </w:p>
    <w:p>
      <w:pPr>
        <w:pStyle w:val="BodyText"/>
      </w:pPr>
      <w:r>
        <w:t xml:space="preserve">The discloser reserves the inventor grace period rights under 35 U.S.C. § 102(b)(1)(A) (one year from the earliest disclosure date in this repository, February 4, 2026).</w:t>
      </w:r>
    </w:p>
    <w:p>
      <w:pPr>
        <w:pStyle w:val="BodyText"/>
      </w:pPr>
      <w:r>
        <w:t xml:space="preserve">This is a technical prior-art disclosure, not medical advice. None of the formulations, combinations, or methods described herein have been evaluated by any regulatory authority. Any clinical use requires appropriate regulatory authorization.</w:t>
      </w:r>
    </w:p>
    <w:p>
      <w:r>
        <w:pict>
          <v:rect style="width:0;height:1.5pt" o:hralign="center" o:hrstd="t" o:hr="t"/>
        </w:pict>
      </w:r>
    </w:p>
    <w:bookmarkEnd w:id="12"/>
    <w:bookmarkStart w:id="13" w:name="field-of-the-disclosure"/>
    <w:p>
      <w:pPr>
        <w:pStyle w:val="Heading2"/>
      </w:pPr>
      <w:r>
        <w:t xml:space="preserve">2. FIELD OF THE DISCLOSURE</w:t>
      </w:r>
    </w:p>
    <w:p>
      <w:pPr>
        <w:pStyle w:val="FirstParagraph"/>
      </w:pPr>
      <w:r>
        <w:t xml:space="preserve">This disclosure relates to oral solid and semi-solid dosage forms providing extended, sustained, controlled, modified, prolonged, delayed, pulsatile, biphasic, multiphasic, or zero-order release of minoxidil (free base, salt, ester, prodrug, or co-crystal) and optionally one or more co-administered actives, for the treatment of hair-loss conditions including, without limitation: androgenetic alopecia (AGA), male-pattern hair loss (MPHL), female-pattern hair loss (FPHL), telogen effluvium, alopecia areata, central centrifugal cicatricial alopecia (CCCA), lichen planopilaris (LPP), traction alopecia, anagen effluvium, monilethrix, loose anagen syndrome, chemotherapy-induced alopecia (anagen and permanent), frontal fibrosing alopecia (FFA), folliculitis decalvans, and any other condition characterized by reduced hair density, altered hair-cycle dynamics, or follicular miniaturization.</w:t>
      </w:r>
    </w:p>
    <w:p>
      <w:pPr>
        <w:pStyle w:val="BodyText"/>
      </w:pPr>
      <w:r>
        <w:t xml:space="preserve">The disclosure expressly extends to dosage-form architectures that are</w:t>
      </w:r>
      <w:r>
        <w:t xml:space="preserve"> </w:t>
      </w:r>
      <w:r>
        <w:rPr>
          <w:b/>
          <w:bCs/>
        </w:rPr>
        <w:t xml:space="preserve">not</w:t>
      </w:r>
      <w:r>
        <w:t xml:space="preserve"> </w:t>
      </w:r>
      <w:r>
        <w:t xml:space="preserve">lipid-matrix tablets, including:</w:t>
      </w:r>
      <w:r>
        <w:t xml:space="preserve"> </w:t>
      </w:r>
      <w:r>
        <w:t xml:space="preserve">- (i) multi-particulate systems (pellets, beads, mini-tablets);</w:t>
      </w:r>
      <w:r>
        <w:t xml:space="preserve"> </w:t>
      </w:r>
      <w:r>
        <w:t xml:space="preserve">- (ii) bilayer and multi-layer tablets;</w:t>
      </w:r>
      <w:r>
        <w:t xml:space="preserve"> </w:t>
      </w:r>
      <w:r>
        <w:t xml:space="preserve">- (iii) osmotic-pump systems;</w:t>
      </w:r>
      <w:r>
        <w:t xml:space="preserve"> </w:t>
      </w:r>
      <w:r>
        <w:t xml:space="preserve">- (iv) gastroretentive systems;</w:t>
      </w:r>
      <w:r>
        <w:t xml:space="preserve"> </w:t>
      </w:r>
      <w:r>
        <w:t xml:space="preserve">- (v) sustained-release oral suspensions and ready-to-mix powders;</w:t>
      </w:r>
      <w:r>
        <w:t xml:space="preserve"> </w:t>
      </w:r>
      <w:r>
        <w:t xml:space="preserve">- (vi) chronopharmaceutical / pulsatile systems;</w:t>
      </w:r>
      <w:r>
        <w:t xml:space="preserve"> </w:t>
      </w:r>
      <w:r>
        <w:t xml:space="preserve">- (vii) hot-melt extrusion-derived solid dispersions, matrices, and films;</w:t>
      </w:r>
      <w:r>
        <w:t xml:space="preserve"> </w:t>
      </w:r>
      <w:r>
        <w:t xml:space="preserve">- (viii) combination dosage forms incorporating minoxidil with one or more co-administered hair-loss actives.</w:t>
      </w:r>
    </w:p>
    <w:p>
      <w:r>
        <w:pict>
          <v:rect style="width:0;height:1.5pt" o:hralign="center" o:hrstd="t" o:hr="t"/>
        </w:pict>
      </w:r>
    </w:p>
    <w:bookmarkEnd w:id="13"/>
    <w:bookmarkStart w:id="14" w:name="problem-addressed"/>
    <w:p>
      <w:pPr>
        <w:pStyle w:val="Heading2"/>
      </w:pPr>
      <w:r>
        <w:t xml:space="preserve">3. PROBLEM ADDRESSED</w:t>
      </w:r>
    </w:p>
    <w:p>
      <w:pPr>
        <w:pStyle w:val="FirstParagraph"/>
      </w:pPr>
      <w:r>
        <w:t xml:space="preserve">Immediate-release oral minoxidil at hair-loss-relevant doses (~3.5–20 mg/day) produces peak plasma concentrations that may approach or exceed the cardiac-activity threshold (~20 ng/mL based on Bokhari et al. 2022 and prior pharmacokinetic literature), causing reflex tachycardia, hypotension, fluid retention, peripheral edema, and other dose-limiting effects. Modified-release dosage forms reduce peak-to-trough swings, sustain therapeutic plasma concentrations above the hair-growth threshold, improve tolerability, and improve adherence by enabling once-daily or twice-daily dosing.</w:t>
      </w:r>
    </w:p>
    <w:p>
      <w:pPr>
        <w:pStyle w:val="BodyText"/>
      </w:pPr>
      <w:r>
        <w:t xml:space="preserve">Lipid-matrix tablets are one architectural solution. This disclosure places</w:t>
      </w:r>
      <w:r>
        <w:t xml:space="preserve"> </w:t>
      </w:r>
      <w:r>
        <w:rPr>
          <w:b/>
          <w:bCs/>
        </w:rPr>
        <w:t xml:space="preserve">all other recognized modified-release architectures</w:t>
      </w:r>
      <w:r>
        <w:t xml:space="preserve"> </w:t>
      </w:r>
      <w:r>
        <w:t xml:space="preserve">for oral minoxidil for hair loss into the public domain to foreclose third-party patenting that would attempt to fence MR oral minoxidil into specific architecture-by-architecture sub-genera.</w:t>
      </w:r>
    </w:p>
    <w:p>
      <w:r>
        <w:pict>
          <v:rect style="width:0;height:1.5pt" o:hralign="center" o:hrstd="t" o:hr="t"/>
        </w:pict>
      </w:r>
    </w:p>
    <w:bookmarkEnd w:id="14"/>
    <w:bookmarkStart w:id="15" w:name="architecture-genus"/>
    <w:p>
      <w:pPr>
        <w:pStyle w:val="Heading2"/>
      </w:pPr>
      <w:r>
        <w:t xml:space="preserve">4. ARCHITECTURE GENUS</w:t>
      </w:r>
    </w:p>
    <w:p>
      <w:pPr>
        <w:pStyle w:val="FirstParagraph"/>
      </w:pPr>
      <w:r>
        <w:t xml:space="preserve">A modified-release oral pharmaceutical composition disclosed herein comprises minoxidil (or a pharmaceutically acceptable salt, ester, prodrug, or co-crystal thereof) and one or more excipients arranged in any of the architectures described in §§ 5–12. All architectures may be employed singly, in combination, or in any sequence within a multi-component dosage form (e.g., bilayer tablet of an IR layer plus an ER multi-particulate-containing layer; capsule containing two or more populations of multi-particulates with different release profiles; gastroretentive bilayer; osmotic-pump tablet with an outer enteric coat; etc.).</w:t>
      </w:r>
    </w:p>
    <w:p>
      <w:r>
        <w:pict>
          <v:rect style="width:0;height:1.5pt" o:hralign="center" o:hrstd="t" o:hr="t"/>
        </w:pict>
      </w:r>
    </w:p>
    <w:bookmarkEnd w:id="15"/>
    <w:bookmarkStart w:id="20" w:name="multi-particulate-architecture"/>
    <w:p>
      <w:pPr>
        <w:pStyle w:val="Heading2"/>
      </w:pPr>
      <w:r>
        <w:t xml:space="preserve">5. MULTI-PARTICULATE ARCHITECTURE</w:t>
      </w:r>
    </w:p>
    <w:p>
      <w:pPr>
        <w:pStyle w:val="FirstParagraph"/>
      </w:pPr>
      <w:r>
        <w:t xml:space="preserve">A composition wherein the API is incorporated into one or more populations of discrete particles (pellets, beads, mini-tablets, granules, microspheres, microparticles, nanoparticles, or any combination), and the particle population(s) are filled into a capsule, sachet, stickpack, oral disintegrating tablet, sprinkle, ready-to-mix oral suspension, or compressed into a fast-disintegrating tablet that releases the particles upon disintegration.</w:t>
      </w:r>
    </w:p>
    <w:bookmarkStart w:id="16" w:name="particle-types"/>
    <w:p>
      <w:pPr>
        <w:pStyle w:val="Heading3"/>
      </w:pPr>
      <w:r>
        <w:t xml:space="preserve">5.1 Particle types</w:t>
      </w:r>
    </w:p>
    <w:p>
      <w:pPr>
        <w:pStyle w:val="Compact"/>
        <w:numPr>
          <w:ilvl w:val="0"/>
          <w:numId w:val="1002"/>
        </w:numPr>
      </w:pPr>
      <w:r>
        <w:t xml:space="preserve">Drug-layered nonpareil sugar spheres (Suglets, Cellets, Celphere) coated with API and rate-controlling polymer films;</w:t>
      </w:r>
    </w:p>
    <w:p>
      <w:pPr>
        <w:pStyle w:val="Compact"/>
        <w:numPr>
          <w:ilvl w:val="0"/>
          <w:numId w:val="1002"/>
        </w:numPr>
      </w:pPr>
      <w:r>
        <w:t xml:space="preserve">API-loaded matrix pellets (extruded-spheronized, melt-pelletized, hot-melt-extruded);</w:t>
      </w:r>
    </w:p>
    <w:p>
      <w:pPr>
        <w:pStyle w:val="Compact"/>
        <w:numPr>
          <w:ilvl w:val="0"/>
          <w:numId w:val="1002"/>
        </w:numPr>
      </w:pPr>
      <w:r>
        <w:t xml:space="preserve">Mini-tablets (typically 1–4 mm diameter) with matrix or coated architecture;</w:t>
      </w:r>
    </w:p>
    <w:p>
      <w:pPr>
        <w:pStyle w:val="Compact"/>
        <w:numPr>
          <w:ilvl w:val="0"/>
          <w:numId w:val="1002"/>
        </w:numPr>
      </w:pPr>
      <w:r>
        <w:t xml:space="preserve">Spray-dried microparticles, microspheres, or nanoparticles loaded with API;</w:t>
      </w:r>
    </w:p>
    <w:p>
      <w:pPr>
        <w:pStyle w:val="Compact"/>
        <w:numPr>
          <w:ilvl w:val="0"/>
          <w:numId w:val="1002"/>
        </w:numPr>
      </w:pPr>
      <w:r>
        <w:t xml:space="preserve">Lipid-coated drug crystals or co-processed lipid-API granules;</w:t>
      </w:r>
    </w:p>
    <w:p>
      <w:pPr>
        <w:pStyle w:val="Compact"/>
        <w:numPr>
          <w:ilvl w:val="0"/>
          <w:numId w:val="1002"/>
        </w:numPr>
      </w:pPr>
      <w:r>
        <w:t xml:space="preserve">Granules produced by wet granulation, dry granulation, fluid-bed granulation, or hot-melt granulation.</w:t>
      </w:r>
    </w:p>
    <w:bookmarkEnd w:id="16"/>
    <w:bookmarkStart w:id="17" w:name="rate-controlling-coating-systems"/>
    <w:p>
      <w:pPr>
        <w:pStyle w:val="Heading3"/>
      </w:pPr>
      <w:r>
        <w:t xml:space="preserve">5.2 Rate-controlling coating systems</w:t>
      </w:r>
    </w:p>
    <w:p>
      <w:pPr>
        <w:pStyle w:val="FirstParagraph"/>
      </w:pPr>
      <w:r>
        <w:t xml:space="preserve">The rate-controlling membrane on any particle population may comprise one or more of: ethylcellulose (Surelease, Aquacoat ECD); ammonio methacrylate copolymers (Eudragit RS, RL, NE); methacrylic acid copolymers (Eudragit L, S, FS); cellulose acetate; cellulose acetate butyrate; cellulose acetate phthalate (CAP); hydroxypropyl methylcellulose phthalate (HPMC-P); hydroxypropyl methylcellulose acetate succinate (HPMC-AS); polyvinyl acetate (Kollicoat SR); polyvinyl acetate phthalate (PVAP); shellac; zein; sodium alginate films; chitosan films; pH-sensitive copolymers; semipermeable membranes for controlled diffusion; matrix-distributed pore-formers (sucrose, lactose, mannitol, urea, sodium chloride, polyethylene glycol, poloxamer, hydroxypropyl cellulose, hydroxyethyl cellulose); and any combination thereof, applied at coating weights from about 1% to about 50% (w/w of uncoated particle, preferably about 5% to about 25%).</w:t>
      </w:r>
    </w:p>
    <w:bookmarkEnd w:id="17"/>
    <w:bookmarkStart w:id="18" w:name="mixed-populations"/>
    <w:p>
      <w:pPr>
        <w:pStyle w:val="Heading3"/>
      </w:pPr>
      <w:r>
        <w:t xml:space="preserve">5.3 Mixed populations</w:t>
      </w:r>
    </w:p>
    <w:p>
      <w:pPr>
        <w:pStyle w:val="FirstParagraph"/>
      </w:pPr>
      <w:r>
        <w:t xml:space="preserve">A capsule, sachet, or unit dose disclosed herein may comprise two, three, four, or more distinct particle populations differing in:</w:t>
      </w:r>
      <w:r>
        <w:t xml:space="preserve"> </w:t>
      </w:r>
      <w:r>
        <w:t xml:space="preserve">- coating composition;</w:t>
      </w:r>
      <w:r>
        <w:t xml:space="preserve"> </w:t>
      </w:r>
      <w:r>
        <w:t xml:space="preserve">- coating thickness;</w:t>
      </w:r>
      <w:r>
        <w:t xml:space="preserve"> </w:t>
      </w:r>
      <w:r>
        <w:t xml:space="preserve">- API loading;</w:t>
      </w:r>
      <w:r>
        <w:t xml:space="preserve"> </w:t>
      </w:r>
      <w:r>
        <w:t xml:space="preserve">- matrix composition;</w:t>
      </w:r>
      <w:r>
        <w:t xml:space="preserve"> </w:t>
      </w:r>
      <w:r>
        <w:t xml:space="preserve">- particle size;</w:t>
      </w:r>
      <w:r>
        <w:t xml:space="preserve"> </w:t>
      </w:r>
      <w:r>
        <w:t xml:space="preserve">- enteric vs. non-enteric design;</w:t>
      </w:r>
      <w:r>
        <w:t xml:space="preserve"> </w:t>
      </w:r>
      <w:r>
        <w:t xml:space="preserve">- release rate (e.g., a fast-release population providing initial loading dose, plus one or more slower-release populations providing sustained maintenance);</w:t>
      </w:r>
      <w:r>
        <w:t xml:space="preserve"> </w:t>
      </w:r>
      <w:r>
        <w:t xml:space="preserve">- pH-trigger pattern (e.g., a duodenum-targeted population, a jejunum-targeted population, an ileum-targeted population, and a colon-targeted population).</w:t>
      </w:r>
    </w:p>
    <w:bookmarkEnd w:id="18"/>
    <w:bookmarkStart w:id="19" w:name="specific-embodiments"/>
    <w:p>
      <w:pPr>
        <w:pStyle w:val="Heading3"/>
      </w:pPr>
      <w:r>
        <w:t xml:space="preserve">5.4 Specific embodiments</w:t>
      </w:r>
    </w:p>
    <w:p>
      <w:pPr>
        <w:pStyle w:val="Compact"/>
        <w:numPr>
          <w:ilvl w:val="0"/>
          <w:numId w:val="1003"/>
        </w:numPr>
      </w:pPr>
      <w:r>
        <w:t xml:space="preserve">A hard gelatin or HPMC capsule containing 50% by weight ethylcellulose-coated API pellets and 50% by weight Eudragit RL-coated API pellets, providing a biphasic release profile.</w:t>
      </w:r>
    </w:p>
    <w:p>
      <w:pPr>
        <w:pStyle w:val="Compact"/>
        <w:numPr>
          <w:ilvl w:val="0"/>
          <w:numId w:val="1003"/>
        </w:numPr>
      </w:pPr>
      <w:r>
        <w:t xml:space="preserve">A unit-dose stickpack containing API-loaded mini-tablets of 2 mm diameter with a 10% w/w ethylcellulose : HPMC 80:20 coat.</w:t>
      </w:r>
    </w:p>
    <w:p>
      <w:pPr>
        <w:pStyle w:val="Compact"/>
        <w:numPr>
          <w:ilvl w:val="0"/>
          <w:numId w:val="1003"/>
        </w:numPr>
      </w:pPr>
      <w:r>
        <w:t xml:space="preserve">An oral disintegrating tablet (ODT) containing 100 µm taste-masked API microparticles for sprinkle or buccal administration.</w:t>
      </w:r>
    </w:p>
    <w:p>
      <w:r>
        <w:pict>
          <v:rect style="width:0;height:1.5pt" o:hralign="center" o:hrstd="t" o:hr="t"/>
        </w:pict>
      </w:r>
    </w:p>
    <w:bookmarkEnd w:id="19"/>
    <w:bookmarkEnd w:id="20"/>
    <w:bookmarkStart w:id="25" w:name="bilayer-and-multi-layer-tablets"/>
    <w:p>
      <w:pPr>
        <w:pStyle w:val="Heading2"/>
      </w:pPr>
      <w:r>
        <w:t xml:space="preserve">6. BILAYER AND MULTI-LAYER TABLETS</w:t>
      </w:r>
    </w:p>
    <w:p>
      <w:pPr>
        <w:pStyle w:val="FirstParagraph"/>
      </w:pPr>
      <w:r>
        <w:t xml:space="preserve">A composition formed as a tablet comprising two or more distinct layers, each with independent composition and release behavior.</w:t>
      </w:r>
    </w:p>
    <w:bookmarkStart w:id="21" w:name="two-layer-architectures"/>
    <w:p>
      <w:pPr>
        <w:pStyle w:val="Heading3"/>
      </w:pPr>
      <w:r>
        <w:t xml:space="preserve">6.1 Two-layer architectures</w:t>
      </w:r>
    </w:p>
    <w:p>
      <w:pPr>
        <w:pStyle w:val="Compact"/>
        <w:numPr>
          <w:ilvl w:val="0"/>
          <w:numId w:val="1004"/>
        </w:numPr>
      </w:pPr>
    </w:p>
    <w:p>
      <w:pPr>
        <w:pStyle w:val="Compact"/>
        <w:numPr>
          <w:ilvl w:val="1"/>
          <w:numId w:val="1005"/>
        </w:numPr>
      </w:pPr>
      <w:r>
        <w:t xml:space="preserve">Immediate-release (IR) layer + extended-release (ER) layer, providing rapid onset followed by sustained exposure (loading-plus-maintenance design).</w:t>
      </w:r>
    </w:p>
    <w:p>
      <w:pPr>
        <w:pStyle w:val="Compact"/>
        <w:numPr>
          <w:ilvl w:val="0"/>
          <w:numId w:val="1004"/>
        </w:numPr>
      </w:pPr>
    </w:p>
    <w:p>
      <w:pPr>
        <w:pStyle w:val="Compact"/>
        <w:numPr>
          <w:ilvl w:val="1"/>
          <w:numId w:val="1006"/>
        </w:numPr>
      </w:pPr>
      <w:r>
        <w:t xml:space="preserve">Two-stage ER + ER architecture with different release rates (e.g., 0–4 hour layer + 4–12 hour layer).</w:t>
      </w:r>
    </w:p>
    <w:p>
      <w:pPr>
        <w:pStyle w:val="Compact"/>
        <w:numPr>
          <w:ilvl w:val="0"/>
          <w:numId w:val="1004"/>
        </w:numPr>
      </w:pPr>
    </w:p>
    <w:p>
      <w:pPr>
        <w:pStyle w:val="Compact"/>
        <w:numPr>
          <w:ilvl w:val="1"/>
          <w:numId w:val="1007"/>
        </w:numPr>
      </w:pPr>
      <w:r>
        <w:t xml:space="preserve">ER layer + delayed-release layer, where the delayed-release layer carries an enteric or pH-triggered coat.</w:t>
      </w:r>
    </w:p>
    <w:bookmarkEnd w:id="21"/>
    <w:bookmarkStart w:id="22" w:name="three-layer-or-higher-architectures"/>
    <w:p>
      <w:pPr>
        <w:pStyle w:val="Heading3"/>
      </w:pPr>
      <w:r>
        <w:t xml:space="preserve">6.2 Three-layer or higher architectures</w:t>
      </w:r>
    </w:p>
    <w:p>
      <w:pPr>
        <w:pStyle w:val="Compact"/>
        <w:numPr>
          <w:ilvl w:val="0"/>
          <w:numId w:val="1008"/>
        </w:numPr>
      </w:pPr>
    </w:p>
    <w:p>
      <w:pPr>
        <w:pStyle w:val="Compact"/>
        <w:numPr>
          <w:ilvl w:val="1"/>
          <w:numId w:val="1009"/>
        </w:numPr>
      </w:pPr>
      <w:r>
        <w:t xml:space="preserve">IR + intermediate ER + slow ER (triphasic).</w:t>
      </w:r>
    </w:p>
    <w:p>
      <w:pPr>
        <w:pStyle w:val="Compact"/>
        <w:numPr>
          <w:ilvl w:val="0"/>
          <w:numId w:val="1008"/>
        </w:numPr>
      </w:pPr>
    </w:p>
    <w:p>
      <w:pPr>
        <w:pStyle w:val="Compact"/>
        <w:numPr>
          <w:ilvl w:val="1"/>
          <w:numId w:val="1010"/>
        </w:numPr>
      </w:pPr>
      <w:r>
        <w:t xml:space="preserve">Push-pull osmotic bilayer with a third drug-free osmotic-driver layer.</w:t>
      </w:r>
    </w:p>
    <w:p>
      <w:pPr>
        <w:pStyle w:val="Compact"/>
        <w:numPr>
          <w:ilvl w:val="0"/>
          <w:numId w:val="1008"/>
        </w:numPr>
      </w:pPr>
    </w:p>
    <w:p>
      <w:pPr>
        <w:pStyle w:val="Compact"/>
        <w:numPr>
          <w:ilvl w:val="1"/>
          <w:numId w:val="1011"/>
        </w:numPr>
      </w:pPr>
      <w:r>
        <w:t xml:space="preserve">Sandwich architectures with a drug-loaded core between two release-controlling layers.</w:t>
      </w:r>
    </w:p>
    <w:bookmarkEnd w:id="22"/>
    <w:bookmarkStart w:id="23" w:name="layer-composition"/>
    <w:p>
      <w:pPr>
        <w:pStyle w:val="Heading3"/>
      </w:pPr>
      <w:r>
        <w:t xml:space="preserve">6.3 Layer composition</w:t>
      </w:r>
    </w:p>
    <w:p>
      <w:pPr>
        <w:pStyle w:val="FirstParagraph"/>
      </w:pPr>
      <w:r>
        <w:t xml:space="preserve">Each layer may independently comprise any combination of: lipid matrix formers per the companion lipid-matrix genus disclosure; hydrophilic polymers (HPMC, HPC, HEC, methylcellulose, polyethylene oxide, sodium carboxymethylcellulose, sodium alginate, carrageenan, xanthan gum, guar gum); osmotic agents (sodium chloride, mannitol, lactose, fructose, urea); pore-formers; surfactants; fillers; lubricants; glidants; stabilizers; pH-modifiers; and disintegrants.</w:t>
      </w:r>
    </w:p>
    <w:bookmarkEnd w:id="23"/>
    <w:bookmarkStart w:id="24" w:name="specific-embodiments-1"/>
    <w:p>
      <w:pPr>
        <w:pStyle w:val="Heading3"/>
      </w:pPr>
      <w:r>
        <w:t xml:space="preserve">6.4 Specific embodiments</w:t>
      </w:r>
    </w:p>
    <w:p>
      <w:pPr>
        <w:pStyle w:val="Compact"/>
        <w:numPr>
          <w:ilvl w:val="0"/>
          <w:numId w:val="1012"/>
        </w:numPr>
      </w:pPr>
      <w:r>
        <w:t xml:space="preserve">A bilayer tablet with an IR layer of 1 mg minoxidil + microcrystalline cellulose + croscarmellose sodium, and an ER layer of 4 mg minoxidil + HPMC K200M + lactose, providing a fast-onset followed by 12-hour sustained release.</w:t>
      </w:r>
    </w:p>
    <w:p>
      <w:pPr>
        <w:pStyle w:val="Compact"/>
        <w:numPr>
          <w:ilvl w:val="0"/>
          <w:numId w:val="1012"/>
        </w:numPr>
      </w:pPr>
      <w:r>
        <w:t xml:space="preserve">A trilayer tablet with three separate-release populations of 2 mg, 3 mg, and 3 mg, designed for once-daily AGA dosing.</w:t>
      </w:r>
    </w:p>
    <w:p>
      <w:r>
        <w:pict>
          <v:rect style="width:0;height:1.5pt" o:hralign="center" o:hrstd="t" o:hr="t"/>
        </w:pict>
      </w:r>
    </w:p>
    <w:bookmarkEnd w:id="24"/>
    <w:bookmarkEnd w:id="25"/>
    <w:bookmarkStart w:id="30" w:name="osmotic-pump-systems"/>
    <w:p>
      <w:pPr>
        <w:pStyle w:val="Heading2"/>
      </w:pPr>
      <w:r>
        <w:t xml:space="preserve">7. OSMOTIC-PUMP SYSTEMS</w:t>
      </w:r>
    </w:p>
    <w:p>
      <w:pPr>
        <w:pStyle w:val="FirstParagraph"/>
      </w:pPr>
      <w:r>
        <w:t xml:space="preserve">A composition employing an osmotic gradient and a semipermeable membrane to drive controlled API release.</w:t>
      </w:r>
    </w:p>
    <w:bookmarkStart w:id="26" w:name="single-chamber-osmotic-systems"/>
    <w:p>
      <w:pPr>
        <w:pStyle w:val="Heading3"/>
      </w:pPr>
      <w:r>
        <w:t xml:space="preserve">7.1 Single-chamber osmotic systems</w:t>
      </w:r>
    </w:p>
    <w:p>
      <w:pPr>
        <w:pStyle w:val="FirstParagraph"/>
      </w:pPr>
      <w:r>
        <w:t xml:space="preserve">A core comprising API plus an osmotic agent (sodium chloride, mannitol, sucrose, fructose, glucose, lactose, urea, sorbitol, potassium chloride, magnesium sulfate, sodium phosphate, calcium phosphate, sodium citrate, polyethylene glycol, or any combination), surrounded by a semipermeable membrane (cellulose acetate; cellulose acetate butyrate; cellulose triacetate; ethylcellulose with controlled porosity; polysulfone; or any combination), with one or more laser-drilled or pressure-formed delivery orifices.</w:t>
      </w:r>
    </w:p>
    <w:bookmarkEnd w:id="26"/>
    <w:bookmarkStart w:id="27" w:name="push-pull-osmotic-systems-oros-type"/>
    <w:p>
      <w:pPr>
        <w:pStyle w:val="Heading3"/>
      </w:pPr>
      <w:r>
        <w:t xml:space="preserve">7.2 Push-pull osmotic systems (OROS-type)</w:t>
      </w:r>
    </w:p>
    <w:p>
      <w:pPr>
        <w:pStyle w:val="FirstParagraph"/>
      </w:pPr>
      <w:r>
        <w:t xml:space="preserve">A bilayer or trilayer core comprising:</w:t>
      </w:r>
      <w:r>
        <w:t xml:space="preserve"> </w:t>
      </w:r>
      <w:r>
        <w:t xml:space="preserve">- (a) a drug-containing layer of API plus binder plus suspending polymer plus optional surfactant; and</w:t>
      </w:r>
      <w:r>
        <w:t xml:space="preserve"> </w:t>
      </w:r>
      <w:r>
        <w:t xml:space="preserve">- (b) a push layer of high-molecular-weight polyethylene oxide plus osmotic agent plus optional pH-modifier;</w:t>
      </w:r>
    </w:p>
    <w:p>
      <w:pPr>
        <w:pStyle w:val="BodyText"/>
      </w:pPr>
      <w:r>
        <w:t xml:space="preserve">surrounded by a semipermeable cellulose acetate membrane with one or more delivery orifices, optionally over-coated with a colored cosmetic film and/or an enteric coat.</w:t>
      </w:r>
    </w:p>
    <w:bookmarkEnd w:id="27"/>
    <w:bookmarkStart w:id="28" w:name="asymmetric-membrane-systems"/>
    <w:p>
      <w:pPr>
        <w:pStyle w:val="Heading3"/>
      </w:pPr>
      <w:r>
        <w:t xml:space="preserve">7.3 Asymmetric-membrane systems</w:t>
      </w:r>
    </w:p>
    <w:p>
      <w:pPr>
        <w:pStyle w:val="FirstParagraph"/>
      </w:pPr>
      <w:r>
        <w:t xml:space="preserve">Compositions wherein the semipermeable membrane is asymmetric (denser outer layer, more porous inner layer), produced by phase-inversion or solvent-casting processes, permitting controlled release without orifice drilling.</w:t>
      </w:r>
    </w:p>
    <w:bookmarkEnd w:id="28"/>
    <w:bookmarkStart w:id="29" w:name="specific-embodiments-2"/>
    <w:p>
      <w:pPr>
        <w:pStyle w:val="Heading3"/>
      </w:pPr>
      <w:r>
        <w:t xml:space="preserve">7.4 Specific embodiments</w:t>
      </w:r>
    </w:p>
    <w:p>
      <w:pPr>
        <w:pStyle w:val="Compact"/>
        <w:numPr>
          <w:ilvl w:val="0"/>
          <w:numId w:val="1013"/>
        </w:numPr>
      </w:pPr>
      <w:r>
        <w:t xml:space="preserve">An osmotic-pump tablet of 8.5 mg minoxidil + 60 mg sodium chloride + cellulose acetate semipermeable membrane with single 0.5 mm laser-drilled orifice, designed for zero-order release over 12 hours.</w:t>
      </w:r>
    </w:p>
    <w:p>
      <w:pPr>
        <w:pStyle w:val="Compact"/>
        <w:numPr>
          <w:ilvl w:val="0"/>
          <w:numId w:val="1013"/>
        </w:numPr>
      </w:pPr>
      <w:r>
        <w:t xml:space="preserve">A push-pull bilayer of 5 mg minoxidil-containing layer + 100 mg PEO 7000K push layer in cellulose acetate housing with two 0.7 mm orifices.</w:t>
      </w:r>
    </w:p>
    <w:p>
      <w:r>
        <w:pict>
          <v:rect style="width:0;height:1.5pt" o:hralign="center" o:hrstd="t" o:hr="t"/>
        </w:pict>
      </w:r>
    </w:p>
    <w:bookmarkEnd w:id="29"/>
    <w:bookmarkEnd w:id="30"/>
    <w:bookmarkStart w:id="36" w:name="gastroretentive-systems"/>
    <w:p>
      <w:pPr>
        <w:pStyle w:val="Heading2"/>
      </w:pPr>
      <w:r>
        <w:t xml:space="preserve">8. GASTRORETENTIVE SYSTEMS</w:t>
      </w:r>
    </w:p>
    <w:p>
      <w:pPr>
        <w:pStyle w:val="FirstParagraph"/>
      </w:pPr>
      <w:r>
        <w:t xml:space="preserve">A composition designed to remain in the stomach for extended periods (typically 4–12 hours) to enable site-specific or extended absorption, by one or more of:</w:t>
      </w:r>
    </w:p>
    <w:bookmarkStart w:id="31" w:name="floating-systems"/>
    <w:p>
      <w:pPr>
        <w:pStyle w:val="Heading3"/>
      </w:pPr>
      <w:r>
        <w:t xml:space="preserve">8.1 Floating systems</w:t>
      </w:r>
    </w:p>
    <w:p>
      <w:pPr>
        <w:pStyle w:val="Compact"/>
        <w:numPr>
          <w:ilvl w:val="0"/>
          <w:numId w:val="1014"/>
        </w:numPr>
      </w:pPr>
      <w:r>
        <w:t xml:space="preserve">Effervescent floating: composition includes sodium bicarbonate or other gas-generating excipient that produces buoyant CO₂ entrapment in a hydrophilic gel matrix;</w:t>
      </w:r>
    </w:p>
    <w:p>
      <w:pPr>
        <w:pStyle w:val="Compact"/>
        <w:numPr>
          <w:ilvl w:val="0"/>
          <w:numId w:val="1014"/>
        </w:numPr>
      </w:pPr>
      <w:r>
        <w:t xml:space="preserve">Non-effervescent floating: composition employs low-density excipients (oils, hollow microspheres, inflated polymers) producing buoyancy in gastric fluid;</w:t>
      </w:r>
    </w:p>
    <w:p>
      <w:pPr>
        <w:pStyle w:val="Compact"/>
        <w:numPr>
          <w:ilvl w:val="0"/>
          <w:numId w:val="1014"/>
        </w:numPr>
      </w:pPr>
      <w:r>
        <w:t xml:space="preserve">Hydrodynamically balanced systems (HBS): single-unit capsule with hydrophilic polymer that swells and floats.</w:t>
      </w:r>
    </w:p>
    <w:bookmarkEnd w:id="31"/>
    <w:bookmarkStart w:id="32" w:name="mucoadhesive-systems"/>
    <w:p>
      <w:pPr>
        <w:pStyle w:val="Heading3"/>
      </w:pPr>
      <w:r>
        <w:t xml:space="preserve">8.2 Mucoadhesive systems</w:t>
      </w:r>
    </w:p>
    <w:p>
      <w:pPr>
        <w:pStyle w:val="FirstParagraph"/>
      </w:pPr>
      <w:r>
        <w:t xml:space="preserve">Compositions employing mucoadhesive polymers (Carbopol, polycarbophil, sodium alginate, chitosan, thiolated chitosan, hyaluronic acid, lectins, glyceryl monooleate, hydroxypropyl methylcellulose, or any combination) to adhere to gastric or small-intestinal mucosa and prolong residence time.</w:t>
      </w:r>
    </w:p>
    <w:bookmarkEnd w:id="32"/>
    <w:bookmarkStart w:id="33" w:name="expandable-unfoldable-systems"/>
    <w:p>
      <w:pPr>
        <w:pStyle w:val="Heading3"/>
      </w:pPr>
      <w:r>
        <w:t xml:space="preserve">8.3 Expandable / unfoldable systems</w:t>
      </w:r>
    </w:p>
    <w:p>
      <w:pPr>
        <w:pStyle w:val="Compact"/>
        <w:numPr>
          <w:ilvl w:val="0"/>
          <w:numId w:val="1015"/>
        </w:numPr>
      </w:pPr>
      <w:r>
        <w:t xml:space="preserve">Shape-memory polymeric scaffolds that expand in the stomach (Accordion Pill-type architectures);</w:t>
      </w:r>
    </w:p>
    <w:p>
      <w:pPr>
        <w:pStyle w:val="Compact"/>
        <w:numPr>
          <w:ilvl w:val="0"/>
          <w:numId w:val="1015"/>
        </w:numPr>
      </w:pPr>
      <w:r>
        <w:t xml:space="preserve">Plug-shaped or star-shaped multi-arm polymeric devices (e.g., Lyndra-type) that unfold post-administration and retain in the stomach until controlled erosion releases the unit.</w:t>
      </w:r>
    </w:p>
    <w:bookmarkEnd w:id="33"/>
    <w:bookmarkStart w:id="34" w:name="high-density-systems"/>
    <w:p>
      <w:pPr>
        <w:pStyle w:val="Heading3"/>
      </w:pPr>
      <w:r>
        <w:t xml:space="preserve">8.4 High-density systems</w:t>
      </w:r>
    </w:p>
    <w:p>
      <w:pPr>
        <w:pStyle w:val="FirstParagraph"/>
      </w:pPr>
      <w:r>
        <w:t xml:space="preserve">Compositions of density ≥ 2.5 g/cm³ employing barium sulfate, zinc oxide, titanium dioxide, iron oxide, or other dense excipients to settle in stomach folds.</w:t>
      </w:r>
    </w:p>
    <w:bookmarkEnd w:id="34"/>
    <w:bookmarkStart w:id="35" w:name="specific-embodiments-3"/>
    <w:p>
      <w:pPr>
        <w:pStyle w:val="Heading3"/>
      </w:pPr>
      <w:r>
        <w:t xml:space="preserve">8.5 Specific embodiments</w:t>
      </w:r>
    </w:p>
    <w:p>
      <w:pPr>
        <w:pStyle w:val="Compact"/>
        <w:numPr>
          <w:ilvl w:val="0"/>
          <w:numId w:val="1016"/>
        </w:numPr>
      </w:pPr>
      <w:r>
        <w:t xml:space="preserve">An effervescent floating tablet of 8.5 mg minoxidil + HPMC K100M + 5% sodium bicarbonate + citric acid, providing 8-hour gastric retention with sustained release.</w:t>
      </w:r>
    </w:p>
    <w:p>
      <w:pPr>
        <w:pStyle w:val="Compact"/>
        <w:numPr>
          <w:ilvl w:val="0"/>
          <w:numId w:val="1016"/>
        </w:numPr>
      </w:pPr>
      <w:r>
        <w:t xml:space="preserve">A bilayer mucoadhesive tablet of 2 mg minoxidil IR + 6 mg minoxidil ER in a Carbopol 974P + sodium alginate matrix.</w:t>
      </w:r>
    </w:p>
    <w:p>
      <w:r>
        <w:pict>
          <v:rect style="width:0;height:1.5pt" o:hralign="center" o:hrstd="t" o:hr="t"/>
        </w:pict>
      </w:r>
    </w:p>
    <w:bookmarkEnd w:id="35"/>
    <w:bookmarkEnd w:id="36"/>
    <w:bookmarkStart w:id="41" w:name="chronopharmaceutical-pulsatile-systems"/>
    <w:p>
      <w:pPr>
        <w:pStyle w:val="Heading2"/>
      </w:pPr>
      <w:r>
        <w:t xml:space="preserve">9. CHRONOPHARMACEUTICAL / PULSATILE SYSTEMS</w:t>
      </w:r>
    </w:p>
    <w:p>
      <w:pPr>
        <w:pStyle w:val="FirstParagraph"/>
      </w:pPr>
      <w:r>
        <w:t xml:space="preserve">A composition designed to release API at a programmed time after administration (rather than continuously), to align therapeutic concentration peaks with circadian disease activity, sleep timing, hair-cycle dynamics, or other chronotherapeutic windows.</w:t>
      </w:r>
    </w:p>
    <w:bookmarkStart w:id="37" w:name="single-pulse-delayed-release"/>
    <w:p>
      <w:pPr>
        <w:pStyle w:val="Heading3"/>
      </w:pPr>
      <w:r>
        <w:t xml:space="preserve">9.1 Single-pulse delayed-release</w:t>
      </w:r>
    </w:p>
    <w:p>
      <w:pPr>
        <w:pStyle w:val="FirstParagraph"/>
      </w:pPr>
      <w:r>
        <w:t xml:space="preserve">API core surrounded by an erodible or rupturing shell that delays release by 4–8 hours, useful for nocturnal hair-cycle enhancement when administered at bedtime.</w:t>
      </w:r>
    </w:p>
    <w:bookmarkEnd w:id="37"/>
    <w:bookmarkStart w:id="38" w:name="multiple-pulse-systems"/>
    <w:p>
      <w:pPr>
        <w:pStyle w:val="Heading3"/>
      </w:pPr>
      <w:r>
        <w:t xml:space="preserve">9.2 Multiple-pulse systems</w:t>
      </w:r>
    </w:p>
    <w:p>
      <w:pPr>
        <w:pStyle w:val="FirstParagraph"/>
      </w:pPr>
      <w:r>
        <w:t xml:space="preserve">Compositions providing two or more discrete releases at programmed intervals (e.g., immediate plus 6-hour-delayed plus 12-hour-delayed), via combinations of multi-particulate populations with different rupturing-shell or erodible-membrane coatings.</w:t>
      </w:r>
    </w:p>
    <w:bookmarkEnd w:id="38"/>
    <w:bookmarkStart w:id="39" w:name="X81aa0eda2f1b560b53704c9fe1099dd2a88b6ff"/>
    <w:p>
      <w:pPr>
        <w:pStyle w:val="Heading3"/>
      </w:pPr>
      <w:r>
        <w:t xml:space="preserve">9.3 Time-clock or time-controlled rupture systems</w:t>
      </w:r>
    </w:p>
    <w:p>
      <w:pPr>
        <w:pStyle w:val="FirstParagraph"/>
      </w:pPr>
      <w:r>
        <w:t xml:space="preserve">Tablet-in-tablet, capsule-in-capsule, or bead-in-bead architectures with independently timed shell erosion.</w:t>
      </w:r>
    </w:p>
    <w:bookmarkEnd w:id="39"/>
    <w:bookmarkStart w:id="40" w:name="specific-embodiments-4"/>
    <w:p>
      <w:pPr>
        <w:pStyle w:val="Heading3"/>
      </w:pPr>
      <w:r>
        <w:t xml:space="preserve">9.4 Specific embodiments</w:t>
      </w:r>
    </w:p>
    <w:p>
      <w:pPr>
        <w:pStyle w:val="Compact"/>
        <w:numPr>
          <w:ilvl w:val="0"/>
          <w:numId w:val="1017"/>
        </w:numPr>
      </w:pPr>
      <w:r>
        <w:t xml:space="preserve">A capsule containing three populations of API pellets coated to release at 0 hours, 6 hours, and 12 hours, providing scheduled chronopharmaceutical exposure for hair-loss treatment.</w:t>
      </w:r>
    </w:p>
    <w:p>
      <w:r>
        <w:pict>
          <v:rect style="width:0;height:1.5pt" o:hralign="center" o:hrstd="t" o:hr="t"/>
        </w:pict>
      </w:r>
    </w:p>
    <w:bookmarkEnd w:id="40"/>
    <w:bookmarkEnd w:id="41"/>
    <w:bookmarkStart w:id="46" w:name="hot-melt-extrusion-derived-compositions"/>
    <w:p>
      <w:pPr>
        <w:pStyle w:val="Heading2"/>
      </w:pPr>
      <w:r>
        <w:t xml:space="preserve">10. HOT-MELT EXTRUSION-DERIVED COMPOSITIONS</w:t>
      </w:r>
    </w:p>
    <w:p>
      <w:pPr>
        <w:pStyle w:val="FirstParagraph"/>
      </w:pPr>
      <w:r>
        <w:t xml:space="preserve">Compositions in which the API is dispersed (molecularly, amorphously, or partially crystalline) within a polymer or lipid carrier by hot-melt extrusion, producing solid solutions, solid dispersions, or matrix systems, in any of the following forms:</w:t>
      </w:r>
    </w:p>
    <w:bookmarkStart w:id="42" w:name="strand-cut-pellets"/>
    <w:p>
      <w:pPr>
        <w:pStyle w:val="Heading3"/>
      </w:pPr>
      <w:r>
        <w:t xml:space="preserve">10.1 Strand-cut pellets</w:t>
      </w:r>
    </w:p>
    <w:p>
      <w:pPr>
        <w:pStyle w:val="FirstParagraph"/>
      </w:pPr>
      <w:r>
        <w:t xml:space="preserve">Hot-melt-extruded strands cut into matrix pellets for capsule fill or further coating, with API loading 0.5% to 50% w/w in carriers including: PEG 4000–20,000; polyvinyl pyrrolidone (PVP K-12 to K-90); polyvinylpyrrolidone-vinyl acetate (PVP-VA); hypromellose (HPMC); hydroxypropyl methylcellulose acetate succinate (HPMC-AS); Eudragit E PO, EPO, RS PO, RL PO, L 100-55, L 100, S 100; Kollidon SR; Kollidon VA64; Soluplus; lipid carriers including those enumerated in the companion lipid-matrix genus disclosure; and any combination.</w:t>
      </w:r>
    </w:p>
    <w:bookmarkEnd w:id="42"/>
    <w:bookmarkStart w:id="43" w:name="films-and-ribbons"/>
    <w:p>
      <w:pPr>
        <w:pStyle w:val="Heading3"/>
      </w:pPr>
      <w:r>
        <w:t xml:space="preserve">10.2 Films and ribbons</w:t>
      </w:r>
    </w:p>
    <w:p>
      <w:pPr>
        <w:pStyle w:val="FirstParagraph"/>
      </w:pPr>
      <w:r>
        <w:t xml:space="preserve">Hot-melt-extruded films cut to size for sublingual, buccal, or oral disintegrating delivery.</w:t>
      </w:r>
    </w:p>
    <w:bookmarkEnd w:id="43"/>
    <w:bookmarkStart w:id="44" w:name="direct-shaped-tablets"/>
    <w:p>
      <w:pPr>
        <w:pStyle w:val="Heading3"/>
      </w:pPr>
      <w:r>
        <w:t xml:space="preserve">10.3 Direct-shaped tablets</w:t>
      </w:r>
    </w:p>
    <w:p>
      <w:pPr>
        <w:pStyle w:val="FirstParagraph"/>
      </w:pPr>
      <w:r>
        <w:t xml:space="preserve">Hot-melt-extruded compacts injection-molded or pressed into final tablet form.</w:t>
      </w:r>
    </w:p>
    <w:bookmarkEnd w:id="44"/>
    <w:bookmarkStart w:id="45" w:name="specific-embodiments-5"/>
    <w:p>
      <w:pPr>
        <w:pStyle w:val="Heading3"/>
      </w:pPr>
      <w:r>
        <w:t xml:space="preserve">10.4 Specific embodiments</w:t>
      </w:r>
    </w:p>
    <w:p>
      <w:pPr>
        <w:pStyle w:val="Compact"/>
        <w:numPr>
          <w:ilvl w:val="0"/>
          <w:numId w:val="1018"/>
        </w:numPr>
      </w:pPr>
      <w:r>
        <w:t xml:space="preserve">Hot-melt-extruded pellets of 5% w/w minoxidil in 60% w/w Soluplus + 35% w/w PEG 6000, cut to 1 mm length and capsule-filled at 4 mg API per capsule.</w:t>
      </w:r>
    </w:p>
    <w:p>
      <w:pPr>
        <w:pStyle w:val="Compact"/>
        <w:numPr>
          <w:ilvl w:val="0"/>
          <w:numId w:val="1018"/>
        </w:numPr>
      </w:pPr>
      <w:r>
        <w:t xml:space="preserve">A 3D-printed (binder-jet or fused-deposition-modeling) mini-tablet of HME-derived pellets in a sustained-release outer matrix.</w:t>
      </w:r>
    </w:p>
    <w:p>
      <w:r>
        <w:pict>
          <v:rect style="width:0;height:1.5pt" o:hralign="center" o:hrstd="t" o:hr="t"/>
        </w:pict>
      </w:r>
    </w:p>
    <w:bookmarkEnd w:id="45"/>
    <w:bookmarkEnd w:id="46"/>
    <w:bookmarkStart w:id="49" w:name="Xd4407994c3c45dbdaf1e02cc55b0b14110ff5e5"/>
    <w:p>
      <w:pPr>
        <w:pStyle w:val="Heading2"/>
      </w:pPr>
      <w:r>
        <w:t xml:space="preserve">11. ORAL SUSPENSIONS, SOLUTIONS, AND READY-TO-MIX POWDERS</w:t>
      </w:r>
    </w:p>
    <w:p>
      <w:pPr>
        <w:pStyle w:val="FirstParagraph"/>
      </w:pPr>
      <w:r>
        <w:t xml:space="preserve">Compositions delivered as a liquid or reconstitutable formulation, providing dose flexibility for pediatric, geriatric, or hard-to-swallow patients, while maintaining a modified-release profile through suspended ER particles.</w:t>
      </w:r>
    </w:p>
    <w:bookmarkStart w:id="47" w:name="er-suspensions"/>
    <w:p>
      <w:pPr>
        <w:pStyle w:val="Heading3"/>
      </w:pPr>
      <w:r>
        <w:t xml:space="preserve">11.1 ER suspensions</w:t>
      </w:r>
    </w:p>
    <w:p>
      <w:pPr>
        <w:pStyle w:val="FirstParagraph"/>
      </w:pPr>
      <w:r>
        <w:t xml:space="preserve">API-loaded particles (per § 5) suspended in a non-solvent vehicle that prevents premature release until ingestion. Vehicle systems include: aqueous suspensions with xanthan gum / sodium carboxymethylcellulose / microcrystalline cellulose; non-aqueous suspensions in glycerin, propylene glycol, polyethylene glycol, or oils; resuspendable powder for oral solution (POS).</w:t>
      </w:r>
    </w:p>
    <w:bookmarkEnd w:id="47"/>
    <w:bookmarkStart w:id="48" w:name="specific-embodiments-6"/>
    <w:p>
      <w:pPr>
        <w:pStyle w:val="Heading3"/>
      </w:pPr>
      <w:r>
        <w:t xml:space="preserve">11.2 Specific embodiments</w:t>
      </w:r>
    </w:p>
    <w:p>
      <w:pPr>
        <w:pStyle w:val="Compact"/>
        <w:numPr>
          <w:ilvl w:val="0"/>
          <w:numId w:val="1019"/>
        </w:numPr>
      </w:pPr>
      <w:r>
        <w:t xml:space="preserve">A 1 mg/mL minoxidil ER oral suspension of ethylcellulose-coated API microparticles in xanthan gum + glycerin + sucrose vehicle, dosed to children with congenital alopecia or alopecia areata at 0.05–0.5 mg/kg/day.</w:t>
      </w:r>
    </w:p>
    <w:p>
      <w:r>
        <w:pict>
          <v:rect style="width:0;height:1.5pt" o:hralign="center" o:hrstd="t" o:hr="t"/>
        </w:pict>
      </w:r>
    </w:p>
    <w:bookmarkEnd w:id="48"/>
    <w:bookmarkEnd w:id="49"/>
    <w:bookmarkStart w:id="53" w:name="X66699deac521baed1eebeb952b05cbd68d1b4e8"/>
    <w:p>
      <w:pPr>
        <w:pStyle w:val="Heading2"/>
      </w:pPr>
      <w:r>
        <w:t xml:space="preserve">12. COMBINATION ORAL MODIFIED-RELEASE COMPOSITIONS FOR HAIR LOSS</w:t>
      </w:r>
    </w:p>
    <w:p>
      <w:pPr>
        <w:pStyle w:val="FirstParagraph"/>
      </w:pPr>
      <w:r>
        <w:t xml:space="preserve">Compositions disclosed herein may comprise minoxidil plus one or more co-administered actives, in any of the architectures of §§ 5–11, in any ratio.</w:t>
      </w:r>
    </w:p>
    <w:bookmarkStart w:id="50" w:name="co-active-classes"/>
    <w:p>
      <w:pPr>
        <w:pStyle w:val="Heading3"/>
      </w:pPr>
      <w:r>
        <w:t xml:space="preserve">12.1 Co-active classes</w:t>
      </w:r>
    </w:p>
    <w:p>
      <w:pPr>
        <w:pStyle w:val="Compact"/>
        <w:numPr>
          <w:ilvl w:val="0"/>
          <w:numId w:val="1020"/>
        </w:numPr>
      </w:pPr>
      <w:r>
        <w:rPr>
          <w:b/>
          <w:bCs/>
        </w:rPr>
        <w:t xml:space="preserve">5α-reductase inhibitors:</w:t>
      </w:r>
      <w:r>
        <w:t xml:space="preserve"> </w:t>
      </w:r>
      <w:r>
        <w:t xml:space="preserve">finasteride, dutasteride, alfatradiol, MK-386, izonsteride, epristeride, turosteride;</w:t>
      </w:r>
    </w:p>
    <w:p>
      <w:pPr>
        <w:pStyle w:val="Compact"/>
        <w:numPr>
          <w:ilvl w:val="0"/>
          <w:numId w:val="1020"/>
        </w:numPr>
      </w:pPr>
      <w:r>
        <w:rPr>
          <w:b/>
          <w:bCs/>
        </w:rPr>
        <w:t xml:space="preserve">Antiandrogens:</w:t>
      </w:r>
      <w:r>
        <w:t xml:space="preserve"> </w:t>
      </w:r>
      <w:r>
        <w:t xml:space="preserve">spironolactone, cyproterone acetate, bicalutamide, flutamide, drospirenone, enzalutamide, apalutamide, abiraterone;</w:t>
      </w:r>
    </w:p>
    <w:p>
      <w:pPr>
        <w:pStyle w:val="Compact"/>
        <w:numPr>
          <w:ilvl w:val="0"/>
          <w:numId w:val="1020"/>
        </w:numPr>
      </w:pPr>
      <w:r>
        <w:rPr>
          <w:b/>
          <w:bCs/>
        </w:rPr>
        <w:t xml:space="preserve">Prostaglandin / prostamide modulators:</w:t>
      </w:r>
      <w:r>
        <w:t xml:space="preserve"> </w:t>
      </w:r>
      <w:r>
        <w:t xml:space="preserve">latanoprost, bimatoprost, tafluprost, travoprost, unoprostone, setipiprant;</w:t>
      </w:r>
    </w:p>
    <w:p>
      <w:pPr>
        <w:pStyle w:val="Compact"/>
        <w:numPr>
          <w:ilvl w:val="0"/>
          <w:numId w:val="1020"/>
        </w:numPr>
      </w:pPr>
      <w:r>
        <w:rPr>
          <w:b/>
          <w:bCs/>
        </w:rPr>
        <w:t xml:space="preserve">JAK inhibitors:</w:t>
      </w:r>
      <w:r>
        <w:t xml:space="preserve"> </w:t>
      </w:r>
      <w:r>
        <w:t xml:space="preserve">tofacitinib, ruxolitinib, baricitinib, deuruxolitinib, ritlecitinib, ifidancitinib, abrocitinib, upadacitinib;</w:t>
      </w:r>
    </w:p>
    <w:p>
      <w:pPr>
        <w:pStyle w:val="Compact"/>
        <w:numPr>
          <w:ilvl w:val="0"/>
          <w:numId w:val="1020"/>
        </w:numPr>
      </w:pPr>
      <w:r>
        <w:rPr>
          <w:b/>
          <w:bCs/>
        </w:rPr>
        <w:t xml:space="preserve">Wnt-pathway / hair-cycle modulators:</w:t>
      </w:r>
      <w:r>
        <w:t xml:space="preserve"> </w:t>
      </w:r>
      <w:r>
        <w:t xml:space="preserve">valproic acid, lithium chloride, CHIR-99021 / Wnt-pathway agonists (research-stage), SM-04554 (samuraciclib);</w:t>
      </w:r>
    </w:p>
    <w:p>
      <w:pPr>
        <w:pStyle w:val="Compact"/>
        <w:numPr>
          <w:ilvl w:val="0"/>
          <w:numId w:val="1020"/>
        </w:numPr>
      </w:pPr>
      <w:r>
        <w:rPr>
          <w:b/>
          <w:bCs/>
        </w:rPr>
        <w:t xml:space="preserve">Vitamins, cofactors, and adjuvants:</w:t>
      </w:r>
      <w:r>
        <w:t xml:space="preserve"> </w:t>
      </w:r>
      <w:r>
        <w:t xml:space="preserve">biotin, vitamin D3, zinc, iron, L-cystine, L-methionine, saw palmetto extract, pumpkin seed extract;</w:t>
      </w:r>
    </w:p>
    <w:p>
      <w:pPr>
        <w:pStyle w:val="Compact"/>
        <w:numPr>
          <w:ilvl w:val="0"/>
          <w:numId w:val="1020"/>
        </w:numPr>
      </w:pPr>
      <w:r>
        <w:rPr>
          <w:b/>
          <w:bCs/>
        </w:rPr>
        <w:t xml:space="preserve">Stress-response modulators:</w:t>
      </w:r>
      <w:r>
        <w:t xml:space="preserve"> </w:t>
      </w:r>
      <w:r>
        <w:t xml:space="preserve">propranolol, ashwagandha extract, L-theanine;</w:t>
      </w:r>
    </w:p>
    <w:p>
      <w:pPr>
        <w:pStyle w:val="Compact"/>
        <w:numPr>
          <w:ilvl w:val="0"/>
          <w:numId w:val="1020"/>
        </w:numPr>
      </w:pPr>
      <w:r>
        <w:rPr>
          <w:b/>
          <w:bCs/>
        </w:rPr>
        <w:t xml:space="preserve">Inflammation modulators:</w:t>
      </w:r>
      <w:r>
        <w:t xml:space="preserve"> </w:t>
      </w:r>
      <w:r>
        <w:t xml:space="preserve">low-dose naltrexone, oral celecoxib, oral acetylsalicylic acid;</w:t>
      </w:r>
    </w:p>
    <w:p>
      <w:pPr>
        <w:pStyle w:val="Compact"/>
        <w:numPr>
          <w:ilvl w:val="0"/>
          <w:numId w:val="1020"/>
        </w:numPr>
      </w:pPr>
      <w:r>
        <w:rPr>
          <w:b/>
          <w:bCs/>
        </w:rPr>
        <w:t xml:space="preserve">Nutritional senescence inhibitors:</w:t>
      </w:r>
      <w:r>
        <w:t xml:space="preserve"> </w:t>
      </w:r>
      <w:r>
        <w:t xml:space="preserve">rapamycin (sirolimus) low-dose, NAD+ precursors (nicotinamide riboside, nicotinamide mononucleotide), urolithin A;</w:t>
      </w:r>
    </w:p>
    <w:p>
      <w:pPr>
        <w:pStyle w:val="Compact"/>
        <w:numPr>
          <w:ilvl w:val="0"/>
          <w:numId w:val="1020"/>
        </w:numPr>
      </w:pPr>
      <w:r>
        <w:rPr>
          <w:b/>
          <w:bCs/>
        </w:rPr>
        <w:t xml:space="preserve">Other antihypertensives with hair-growth association:</w:t>
      </w:r>
      <w:r>
        <w:t xml:space="preserve"> </w:t>
      </w:r>
      <w:r>
        <w:t xml:space="preserve">topical pinacidil derivatives, candesartan, valsartan, cetirizine.</w:t>
      </w:r>
    </w:p>
    <w:bookmarkEnd w:id="50"/>
    <w:bookmarkStart w:id="51" w:name="combination-ratios-and-dose-ranges"/>
    <w:p>
      <w:pPr>
        <w:pStyle w:val="Heading3"/>
      </w:pPr>
      <w:r>
        <w:t xml:space="preserve">12.2 Combination ratios and dose ranges</w:t>
      </w:r>
    </w:p>
    <w:p>
      <w:pPr>
        <w:pStyle w:val="FirstParagraph"/>
      </w:pPr>
      <w:r>
        <w:t xml:space="preserve">For each two-component combination of minoxidil with a co-active, all integer-mg ratios from 1:0.01 to 1:100 of minoxidil to co-active are disclosed, including specifically:</w:t>
      </w:r>
    </w:p>
    <w:p>
      <w:pPr>
        <w:pStyle w:val="Compact"/>
        <w:numPr>
          <w:ilvl w:val="0"/>
          <w:numId w:val="1021"/>
        </w:numPr>
      </w:pPr>
      <w:r>
        <w:t xml:space="preserve">Minoxidil 0.5–20 mg + finasteride 0.1–5 mg (e.g., minoxidil 5 mg + finasteride 1 mg; minoxidil 8.5 mg + finasteride 1 mg);</w:t>
      </w:r>
    </w:p>
    <w:p>
      <w:pPr>
        <w:pStyle w:val="Compact"/>
        <w:numPr>
          <w:ilvl w:val="0"/>
          <w:numId w:val="1021"/>
        </w:numPr>
      </w:pPr>
      <w:r>
        <w:t xml:space="preserve">Minoxidil 0.5–20 mg + dutasteride 0.05–1.5 mg (e.g., minoxidil 5 mg + dutasteride 0.5 mg);</w:t>
      </w:r>
    </w:p>
    <w:p>
      <w:pPr>
        <w:pStyle w:val="Compact"/>
        <w:numPr>
          <w:ilvl w:val="0"/>
          <w:numId w:val="1021"/>
        </w:numPr>
      </w:pPr>
      <w:r>
        <w:t xml:space="preserve">Minoxidil 0.5–20 mg + spironolactone 12.5–100 mg (e.g., minoxidil 1 mg + spironolactone 25 mg per Sinclair 2018);</w:t>
      </w:r>
    </w:p>
    <w:p>
      <w:pPr>
        <w:pStyle w:val="Compact"/>
        <w:numPr>
          <w:ilvl w:val="0"/>
          <w:numId w:val="1021"/>
        </w:numPr>
      </w:pPr>
      <w:r>
        <w:t xml:space="preserve">Minoxidil 0.5–20 mg + setipiprant 100–1000 mg;</w:t>
      </w:r>
    </w:p>
    <w:p>
      <w:pPr>
        <w:pStyle w:val="Compact"/>
        <w:numPr>
          <w:ilvl w:val="0"/>
          <w:numId w:val="1021"/>
        </w:numPr>
      </w:pPr>
      <w:r>
        <w:t xml:space="preserve">Minoxidil 0.5–20 mg + tofacitinib 1–11 mg;</w:t>
      </w:r>
    </w:p>
    <w:p>
      <w:pPr>
        <w:pStyle w:val="Compact"/>
        <w:numPr>
          <w:ilvl w:val="0"/>
          <w:numId w:val="1021"/>
        </w:numPr>
      </w:pPr>
      <w:r>
        <w:t xml:space="preserve">Minoxidil 0.5–20 mg + low-dose naltrexone 1–5 mg.</w:t>
      </w:r>
    </w:p>
    <w:p>
      <w:pPr>
        <w:pStyle w:val="FirstParagraph"/>
      </w:pPr>
      <w:r>
        <w:t xml:space="preserve">Three-component, four-component, and higher combinations are also disclosed in any combinatorial enumeration of actives in § 12.1.</w:t>
      </w:r>
    </w:p>
    <w:bookmarkEnd w:id="51"/>
    <w:bookmarkStart w:id="52" w:name="combination-architectures"/>
    <w:p>
      <w:pPr>
        <w:pStyle w:val="Heading3"/>
      </w:pPr>
      <w:r>
        <w:t xml:space="preserve">12.3 Combination architectures</w:t>
      </w:r>
    </w:p>
    <w:p>
      <w:pPr>
        <w:pStyle w:val="FirstParagraph"/>
      </w:pPr>
      <w:r>
        <w:t xml:space="preserve">Each combination may be embodied in any of the architectures of §§ 5–11, including specifically:</w:t>
      </w:r>
      <w:r>
        <w:t xml:space="preserve"> </w:t>
      </w:r>
      <w:r>
        <w:t xml:space="preserve">- Bilayer tablet with minoxidil ER layer + finasteride IR layer;</w:t>
      </w:r>
      <w:r>
        <w:t xml:space="preserve"> </w:t>
      </w:r>
      <w:r>
        <w:t xml:space="preserve">- Capsule containing minoxidil-coated pellets and finasteride-coated pellets;</w:t>
      </w:r>
      <w:r>
        <w:t xml:space="preserve"> </w:t>
      </w:r>
      <w:r>
        <w:t xml:space="preserve">- Single-matrix tablet co-extruded with minoxidil + dutasteride in a lipid-matrix carrier;</w:t>
      </w:r>
      <w:r>
        <w:t xml:space="preserve"> </w:t>
      </w:r>
      <w:r>
        <w:t xml:space="preserve">- Osmotic-pump bilayer with minoxidil + spironolactone in the drug layer;</w:t>
      </w:r>
      <w:r>
        <w:t xml:space="preserve"> </w:t>
      </w:r>
      <w:r>
        <w:t xml:space="preserve">- Pulsatile capsule providing minoxidil at T0 + finasteride at T6 + dutasteride at T12.</w:t>
      </w:r>
    </w:p>
    <w:p>
      <w:r>
        <w:pict>
          <v:rect style="width:0;height:1.5pt" o:hralign="center" o:hrstd="t" o:hr="t"/>
        </w:pict>
      </w:r>
    </w:p>
    <w:bookmarkEnd w:id="52"/>
    <w:bookmarkEnd w:id="53"/>
    <w:bookmarkStart w:id="54" w:name="pharmacokinetic-and-dose-envelopes"/>
    <w:p>
      <w:pPr>
        <w:pStyle w:val="Heading2"/>
      </w:pPr>
      <w:r>
        <w:t xml:space="preserve">13. PHARMACOKINETIC AND DOSE ENVELOPES</w:t>
      </w:r>
    </w:p>
    <w:p>
      <w:pPr>
        <w:pStyle w:val="FirstParagraph"/>
      </w:pPr>
      <w:r>
        <w:t xml:space="preserve">Each architecture and combination disclosed herein may be designed to produce any of the following pharmacokinetic envelopes, which are individually disclosed: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Range disclosed</w:t>
            </w:r>
          </w:p>
        </w:tc>
      </w:tr>
      <w:tr>
        <w:tc>
          <w:tcPr/>
          <w:p>
            <w:pPr>
              <w:pStyle w:val="Compact"/>
            </w:pPr>
            <w:r>
              <w:t xml:space="preserve">Daily minoxidil dose</w:t>
            </w:r>
          </w:p>
        </w:tc>
        <w:tc>
          <w:tcPr/>
          <w:p>
            <w:pPr>
              <w:pStyle w:val="Compact"/>
            </w:pPr>
            <w:r>
              <w:t xml:space="preserve">0.05 mg to 50 mg, including every 0.05 mg increment</w:t>
            </w:r>
          </w:p>
        </w:tc>
      </w:tr>
      <w:tr>
        <w:tc>
          <w:tcPr/>
          <w:p>
            <w:pPr>
              <w:pStyle w:val="Compact"/>
            </w:pPr>
            <w:r>
              <w:t xml:space="preserve">Cmax (parent minoxidil)</w:t>
            </w:r>
          </w:p>
        </w:tc>
        <w:tc>
          <w:tcPr/>
          <w:p>
            <w:pPr>
              <w:pStyle w:val="Compact"/>
            </w:pPr>
            <w:r>
              <w:t xml:space="preserve">0.1 ng/mL to 100 ng/mL, including every 0.1 ng/mL increment</w:t>
            </w:r>
          </w:p>
        </w:tc>
      </w:tr>
      <w:tr>
        <w:tc>
          <w:tcPr/>
          <w:p>
            <w:pPr>
              <w:pStyle w:val="Compact"/>
            </w:pPr>
            <w:r>
              <w:t xml:space="preserve">Tmax</w:t>
            </w:r>
          </w:p>
        </w:tc>
        <w:tc>
          <w:tcPr/>
          <w:p>
            <w:pPr>
              <w:pStyle w:val="Compact"/>
            </w:pPr>
            <w:r>
              <w:t xml:space="preserve">0.25 hour to 24 hours, including every 0.25 hour increment</w:t>
            </w:r>
          </w:p>
        </w:tc>
      </w:tr>
      <w:tr>
        <w:tc>
          <w:tcPr/>
          <w:p>
            <w:pPr>
              <w:pStyle w:val="Compact"/>
            </w:pPr>
            <w:r>
              <w:t xml:space="preserve">AUC0–24</w:t>
            </w:r>
          </w:p>
        </w:tc>
        <w:tc>
          <w:tcPr/>
          <w:p>
            <w:pPr>
              <w:pStyle w:val="Compact"/>
            </w:pPr>
            <w:r>
              <w:t xml:space="preserve">1 ng·h/mL to 1000 ng·h/mL, including every 1 ng·h/mL increment</w:t>
            </w:r>
          </w:p>
        </w:tc>
      </w:tr>
      <w:tr>
        <w:tc>
          <w:tcPr/>
          <w:p>
            <w:pPr>
              <w:pStyle w:val="Compact"/>
            </w:pPr>
            <w:r>
              <w:t xml:space="preserve">Apparent t½</w:t>
            </w:r>
          </w:p>
        </w:tc>
        <w:tc>
          <w:tcPr/>
          <w:p>
            <w:pPr>
              <w:pStyle w:val="Compact"/>
            </w:pPr>
            <w:r>
              <w:t xml:space="preserve">1 hour to 36 hours</w:t>
            </w:r>
          </w:p>
        </w:tc>
      </w:tr>
      <w:tr>
        <w:tc>
          <w:tcPr/>
          <w:p>
            <w:pPr>
              <w:pStyle w:val="Compact"/>
            </w:pPr>
            <w:r>
              <w:t xml:space="preserve">Trough/peak ratio</w:t>
            </w:r>
          </w:p>
        </w:tc>
        <w:tc>
          <w:tcPr/>
          <w:p>
            <w:pPr>
              <w:pStyle w:val="Compact"/>
            </w:pPr>
            <w:r>
              <w:t xml:space="preserve">0.05 to 1.0</w:t>
            </w:r>
          </w:p>
        </w:tc>
      </w:tr>
      <w:tr>
        <w:tc>
          <w:tcPr/>
          <w:p>
            <w:pPr>
              <w:pStyle w:val="Compact"/>
            </w:pPr>
            <w:r>
              <w:t xml:space="preserve">Time above MEC</w:t>
            </w:r>
          </w:p>
        </w:tc>
        <w:tc>
          <w:tcPr/>
          <w:p>
            <w:pPr>
              <w:pStyle w:val="Compact"/>
            </w:pPr>
            <w:r>
              <w:t xml:space="preserve">4 hours to 24 hours</w:t>
            </w:r>
          </w:p>
        </w:tc>
      </w:tr>
      <w:tr>
        <w:tc>
          <w:tcPr/>
          <w:p>
            <w:pPr>
              <w:pStyle w:val="Compact"/>
            </w:pPr>
            <w:r>
              <w:t xml:space="preserve">Steady-state plasma</w:t>
            </w:r>
          </w:p>
        </w:tc>
        <w:tc>
          <w:tcPr/>
          <w:p>
            <w:pPr>
              <w:pStyle w:val="Compact"/>
            </w:pPr>
            <w:r>
              <w:t xml:space="preserve">0.1 ng/mL to 50 ng/mL</w:t>
            </w:r>
          </w:p>
        </w:tc>
      </w:tr>
    </w:tbl>
    <w:p>
      <w:pPr>
        <w:pStyle w:val="BodyText"/>
      </w:pPr>
      <w:r>
        <w:t xml:space="preserve">All combinations of dose, Cmax, Tmax, AUC, and steady-state plasma values within these ranges are disclosed as specific embodiments.</w:t>
      </w:r>
    </w:p>
    <w:p>
      <w:r>
        <w:pict>
          <v:rect style="width:0;height:1.5pt" o:hralign="center" o:hrstd="t" o:hr="t"/>
        </w:pict>
      </w:r>
    </w:p>
    <w:bookmarkEnd w:id="54"/>
    <w:bookmarkStart w:id="55" w:name="manufacturing-processes"/>
    <w:p>
      <w:pPr>
        <w:pStyle w:val="Heading2"/>
      </w:pPr>
      <w:r>
        <w:t xml:space="preserve">14. MANUFACTURING PROCESSES</w:t>
      </w:r>
    </w:p>
    <w:p>
      <w:pPr>
        <w:pStyle w:val="FirstParagraph"/>
      </w:pPr>
      <w:r>
        <w:t xml:space="preserve">Each composition disclosed herein may be manufactured by any of the following processes, which are individually disclosed:</w:t>
      </w:r>
    </w:p>
    <w:p>
      <w:pPr>
        <w:pStyle w:val="Compact"/>
        <w:numPr>
          <w:ilvl w:val="0"/>
          <w:numId w:val="1022"/>
        </w:numPr>
      </w:pPr>
      <w:r>
        <w:t xml:space="preserve">Direct compression;</w:t>
      </w:r>
    </w:p>
    <w:p>
      <w:pPr>
        <w:pStyle w:val="Compact"/>
        <w:numPr>
          <w:ilvl w:val="0"/>
          <w:numId w:val="1022"/>
        </w:numPr>
      </w:pPr>
      <w:r>
        <w:t xml:space="preserve">Wet granulation (high-shear, fluid-bed, twin-screw);</w:t>
      </w:r>
    </w:p>
    <w:p>
      <w:pPr>
        <w:pStyle w:val="Compact"/>
        <w:numPr>
          <w:ilvl w:val="0"/>
          <w:numId w:val="1022"/>
        </w:numPr>
      </w:pPr>
      <w:r>
        <w:t xml:space="preserve">Dry granulation (roller compaction, slugging);</w:t>
      </w:r>
    </w:p>
    <w:p>
      <w:pPr>
        <w:pStyle w:val="Compact"/>
        <w:numPr>
          <w:ilvl w:val="0"/>
          <w:numId w:val="1022"/>
        </w:numPr>
      </w:pPr>
      <w:r>
        <w:t xml:space="preserve">Hot-melt granulation;</w:t>
      </w:r>
    </w:p>
    <w:p>
      <w:pPr>
        <w:pStyle w:val="Compact"/>
        <w:numPr>
          <w:ilvl w:val="0"/>
          <w:numId w:val="1022"/>
        </w:numPr>
      </w:pPr>
      <w:r>
        <w:t xml:space="preserve">Hot-melt extrusion (single-screw, twin-screw, ram extrusion);</w:t>
      </w:r>
    </w:p>
    <w:p>
      <w:pPr>
        <w:pStyle w:val="Compact"/>
        <w:numPr>
          <w:ilvl w:val="0"/>
          <w:numId w:val="1022"/>
        </w:numPr>
      </w:pPr>
      <w:r>
        <w:t xml:space="preserve">Spray-drying;</w:t>
      </w:r>
    </w:p>
    <w:p>
      <w:pPr>
        <w:pStyle w:val="Compact"/>
        <w:numPr>
          <w:ilvl w:val="0"/>
          <w:numId w:val="1022"/>
        </w:numPr>
      </w:pPr>
      <w:r>
        <w:t xml:space="preserve">Spray-congealing;</w:t>
      </w:r>
    </w:p>
    <w:p>
      <w:pPr>
        <w:pStyle w:val="Compact"/>
        <w:numPr>
          <w:ilvl w:val="0"/>
          <w:numId w:val="1022"/>
        </w:numPr>
      </w:pPr>
      <w:r>
        <w:t xml:space="preserve">Spray-layering and Wurster coating;</w:t>
      </w:r>
    </w:p>
    <w:p>
      <w:pPr>
        <w:pStyle w:val="Compact"/>
        <w:numPr>
          <w:ilvl w:val="0"/>
          <w:numId w:val="1022"/>
        </w:numPr>
      </w:pPr>
      <w:r>
        <w:t xml:space="preserve">Extrusion-spheronization;</w:t>
      </w:r>
    </w:p>
    <w:p>
      <w:pPr>
        <w:pStyle w:val="Compact"/>
        <w:numPr>
          <w:ilvl w:val="0"/>
          <w:numId w:val="1022"/>
        </w:numPr>
      </w:pPr>
      <w:r>
        <w:t xml:space="preserve">Melt-pelletization;</w:t>
      </w:r>
    </w:p>
    <w:p>
      <w:pPr>
        <w:pStyle w:val="Compact"/>
        <w:numPr>
          <w:ilvl w:val="0"/>
          <w:numId w:val="1022"/>
        </w:numPr>
      </w:pPr>
      <w:r>
        <w:t xml:space="preserve">Fluid-bed coating with bottom-spray, top-spray, or tangential-spray;</w:t>
      </w:r>
    </w:p>
    <w:p>
      <w:pPr>
        <w:pStyle w:val="Compact"/>
        <w:numPr>
          <w:ilvl w:val="0"/>
          <w:numId w:val="1022"/>
        </w:numPr>
      </w:pPr>
      <w:r>
        <w:t xml:space="preserve">Pan coating;</w:t>
      </w:r>
    </w:p>
    <w:p>
      <w:pPr>
        <w:pStyle w:val="Compact"/>
        <w:numPr>
          <w:ilvl w:val="0"/>
          <w:numId w:val="1022"/>
        </w:numPr>
      </w:pPr>
      <w:r>
        <w:t xml:space="preserve">Compression coating;</w:t>
      </w:r>
    </w:p>
    <w:p>
      <w:pPr>
        <w:pStyle w:val="Compact"/>
        <w:numPr>
          <w:ilvl w:val="0"/>
          <w:numId w:val="1022"/>
        </w:numPr>
      </w:pPr>
      <w:r>
        <w:t xml:space="preserve">Tablet-in-tablet pressing;</w:t>
      </w:r>
    </w:p>
    <w:p>
      <w:pPr>
        <w:pStyle w:val="Compact"/>
        <w:numPr>
          <w:ilvl w:val="0"/>
          <w:numId w:val="1022"/>
        </w:numPr>
      </w:pPr>
      <w:r>
        <w:t xml:space="preserve">Capsule filling (powder, pellet, granule, mini-tablet, liquid);</w:t>
      </w:r>
    </w:p>
    <w:p>
      <w:pPr>
        <w:pStyle w:val="Compact"/>
        <w:numPr>
          <w:ilvl w:val="0"/>
          <w:numId w:val="1022"/>
        </w:numPr>
      </w:pPr>
      <w:r>
        <w:t xml:space="preserve">3D printing (binder jetting, fused deposition modeling, stereolithography, drop-on-powder);</w:t>
      </w:r>
    </w:p>
    <w:p>
      <w:pPr>
        <w:pStyle w:val="Compact"/>
        <w:numPr>
          <w:ilvl w:val="0"/>
          <w:numId w:val="1022"/>
        </w:numPr>
      </w:pPr>
      <w:r>
        <w:t xml:space="preserve">Solvent casting;</w:t>
      </w:r>
    </w:p>
    <w:p>
      <w:pPr>
        <w:pStyle w:val="Compact"/>
        <w:numPr>
          <w:ilvl w:val="0"/>
          <w:numId w:val="1022"/>
        </w:numPr>
      </w:pPr>
      <w:r>
        <w:t xml:space="preserve">Phase inversion / coacervation;</w:t>
      </w:r>
    </w:p>
    <w:p>
      <w:pPr>
        <w:pStyle w:val="Compact"/>
        <w:numPr>
          <w:ilvl w:val="0"/>
          <w:numId w:val="1022"/>
        </w:numPr>
      </w:pPr>
      <w:r>
        <w:t xml:space="preserve">Supercritical CO₂ processing;</w:t>
      </w:r>
    </w:p>
    <w:p>
      <w:pPr>
        <w:pStyle w:val="Compact"/>
        <w:numPr>
          <w:ilvl w:val="0"/>
          <w:numId w:val="1022"/>
        </w:numPr>
      </w:pPr>
      <w:r>
        <w:t xml:space="preserve">Cryomilling.</w:t>
      </w:r>
    </w:p>
    <w:p>
      <w:pPr>
        <w:pStyle w:val="FirstParagraph"/>
      </w:pPr>
      <w:r>
        <w:t xml:space="preserve">Each process may be employed alone or in combination with one or more other listed processes.</w:t>
      </w:r>
    </w:p>
    <w:p>
      <w:r>
        <w:pict>
          <v:rect style="width:0;height:1.5pt" o:hralign="center" o:hrstd="t" o:hr="t"/>
        </w:pict>
      </w:r>
    </w:p>
    <w:bookmarkEnd w:id="55"/>
    <w:bookmarkStart w:id="56" w:name="method-of-use"/>
    <w:p>
      <w:pPr>
        <w:pStyle w:val="Heading2"/>
      </w:pPr>
      <w:r>
        <w:t xml:space="preserve">15. METHOD OF USE</w:t>
      </w:r>
    </w:p>
    <w:p>
      <w:pPr>
        <w:pStyle w:val="FirstParagraph"/>
      </w:pPr>
      <w:r>
        <w:t xml:space="preserve">A method of treating hair loss in a subject in need thereof, comprising orally administering any of the compositions disclosed in §§ 4–14 to the subject at a frequency of once daily, twice daily, three times daily, four times daily, every other day, every third day, weekly, or any other clinically appropriate interval. The subject may be a human adult, adolescent (12–17 years), pediatric (2–11 years), pregnant or nursing woman (with appropriate clinical supervision), or geriatric patient. Treatment duration may be from 1 week to lifelong.</w:t>
      </w:r>
    </w:p>
    <w:p>
      <w:pPr>
        <w:pStyle w:val="BodyText"/>
      </w:pPr>
      <w:r>
        <w:t xml:space="preserve">The hair loss may be of any indication enumerated in § 2, and the dose may be titrated upward or downward in 0.5 mg, 1 mg, 2 mg, or 5 mg increments based on clinical response, tolerability, blood pressure, heart rate, hypertrichosis, or other clinical endpoint.</w:t>
      </w:r>
    </w:p>
    <w:p>
      <w:r>
        <w:pict>
          <v:rect style="width:0;height:1.5pt" o:hralign="center" o:hrstd="t" o:hr="t"/>
        </w:pict>
      </w:r>
    </w:p>
    <w:bookmarkEnd w:id="56"/>
    <w:bookmarkStart w:id="57" w:name="Xd59ee905011c5c4f918069e393c9bffd9cd02b1"/>
    <w:p>
      <w:pPr>
        <w:pStyle w:val="Heading2"/>
      </w:pPr>
      <w:r>
        <w:t xml:space="preserve">16. DISCLAIMER OF NOVELTY OVER SPECIFIC PRIOR ART</w:t>
      </w:r>
    </w:p>
    <w:p>
      <w:pPr>
        <w:pStyle w:val="FirstParagraph"/>
      </w:pPr>
      <w:r>
        <w:t xml:space="preserve">This disclosure incorporates by reference the following prior art and does not claim novelty over the subject matter taught by:</w:t>
      </w:r>
    </w:p>
    <w:p>
      <w:pPr>
        <w:pStyle w:val="Compact"/>
        <w:numPr>
          <w:ilvl w:val="0"/>
          <w:numId w:val="1023"/>
        </w:numPr>
      </w:pPr>
      <w:r>
        <w:t xml:space="preserve">US 4,139,619 (Loniten patent, expired);</w:t>
      </w:r>
    </w:p>
    <w:p>
      <w:pPr>
        <w:pStyle w:val="Compact"/>
        <w:numPr>
          <w:ilvl w:val="0"/>
          <w:numId w:val="1023"/>
        </w:numPr>
      </w:pPr>
      <w:r>
        <w:t xml:space="preserve">US Loniten label NDA 18-154 (1979);</w:t>
      </w:r>
    </w:p>
    <w:p>
      <w:pPr>
        <w:pStyle w:val="Compact"/>
        <w:numPr>
          <w:ilvl w:val="0"/>
          <w:numId w:val="1023"/>
        </w:numPr>
      </w:pPr>
      <w:r>
        <w:t xml:space="preserve">AU 2011100917 B4 (Sinclair, 2011) — oral minoxidil 0.5–10 mg for AGA;</w:t>
      </w:r>
    </w:p>
    <w:p>
      <w:pPr>
        <w:pStyle w:val="Compact"/>
        <w:numPr>
          <w:ilvl w:val="0"/>
          <w:numId w:val="1023"/>
        </w:numPr>
      </w:pPr>
      <w:r>
        <w:t xml:space="preserve">WO 2016/065426 / EP 3212192 B1 (Samson Clinical / Sinclair, 2014) — oral minoxidil 0.1–20 mg for TE/AGA/AA;</w:t>
      </w:r>
    </w:p>
    <w:p>
      <w:pPr>
        <w:pStyle w:val="Compact"/>
        <w:numPr>
          <w:ilvl w:val="0"/>
          <w:numId w:val="1023"/>
        </w:numPr>
      </w:pPr>
      <w:r>
        <w:t xml:space="preserve">WO 2019/010535 (Samson Clinical / Sinclair, 2017) — oral and sublingual minoxidil for hair loss including lipid-matrix tablet, plasma 0.25–10 ng/mL;</w:t>
      </w:r>
    </w:p>
    <w:p>
      <w:pPr>
        <w:pStyle w:val="Compact"/>
        <w:numPr>
          <w:ilvl w:val="0"/>
          <w:numId w:val="1023"/>
        </w:numPr>
      </w:pPr>
      <w:r>
        <w:t xml:space="preserve">US 9,750,812 (Jina) — lipid-based minoxidil systems;</w:t>
      </w:r>
    </w:p>
    <w:p>
      <w:pPr>
        <w:pStyle w:val="Compact"/>
        <w:numPr>
          <w:ilvl w:val="0"/>
          <w:numId w:val="1023"/>
        </w:numPr>
      </w:pPr>
      <w:r>
        <w:t xml:space="preserve">All published clinical literature on oral minoxidil for hair loss prior to May 5, 2026;</w:t>
      </w:r>
    </w:p>
    <w:p>
      <w:pPr>
        <w:pStyle w:val="Compact"/>
        <w:numPr>
          <w:ilvl w:val="0"/>
          <w:numId w:val="1023"/>
        </w:numPr>
      </w:pPr>
      <w:r>
        <w:t xml:space="preserve">All routine pharmaceutical formulation art (modified-release dosage forms, multi-particulate systems, osmotic-pump systems, gastroretentive systems, hot-melt extrusion, etc.) as disclosed in standard pharmaceutical reference works including without limitation Aulton’s</w:t>
      </w:r>
      <w:r>
        <w:t xml:space="preserve"> </w:t>
      </w:r>
      <w:r>
        <w:rPr>
          <w:i/>
          <w:iCs/>
        </w:rPr>
        <w:t xml:space="preserve">Pharmaceutics: The Science of Dosage Form Design</w:t>
      </w:r>
      <w:r>
        <w:t xml:space="preserve">,</w:t>
      </w:r>
      <w:r>
        <w:t xml:space="preserve"> </w:t>
      </w:r>
      <w:r>
        <w:rPr>
          <w:i/>
          <w:iCs/>
        </w:rPr>
        <w:t xml:space="preserve">Remington’s Pharmaceutical Sciences</w:t>
      </w:r>
      <w:r>
        <w:t xml:space="preserve">,</w:t>
      </w:r>
      <w:r>
        <w:t xml:space="preserve"> </w:t>
      </w:r>
      <w:r>
        <w:rPr>
          <w:i/>
          <w:iCs/>
        </w:rPr>
        <w:t xml:space="preserve">Handbook of Pharmaceutical Excipients</w:t>
      </w:r>
      <w:r>
        <w:t xml:space="preserve">, USP-NF, and Ph. Eur.</w:t>
      </w:r>
    </w:p>
    <w:p>
      <w:pPr>
        <w:pStyle w:val="FirstParagraph"/>
      </w:pPr>
      <w:r>
        <w:t xml:space="preserve">This disclosure adds to that prior art the specific architectural, compositional, manufacturing, and combination embodiments enumerated above, all dedicated to the public domain.</w:t>
      </w:r>
    </w:p>
    <w:p>
      <w:r>
        <w:pict>
          <v:rect style="width:0;height:1.5pt" o:hralign="center" o:hrstd="t" o:hr="t"/>
        </w:pict>
      </w:r>
    </w:p>
    <w:bookmarkEnd w:id="57"/>
    <w:bookmarkStart w:id="58" w:name="provenance-and-verifiability"/>
    <w:p>
      <w:pPr>
        <w:pStyle w:val="Heading2"/>
      </w:pPr>
      <w:r>
        <w:t xml:space="preserve">17. PROVENANCE AND VERIFIABILITY</w:t>
      </w:r>
    </w:p>
    <w:p>
      <w:pPr>
        <w:pStyle w:val="FirstParagraph"/>
      </w:pPr>
      <w:r>
        <w:t xml:space="preserve">This document is published in a public Git repository at https://github.com/apbakst/lipid-matrix-er-disclosures. The Git commit hash, GitHub raw URL, and Wayback Machine archive of this document constitute a public record of disclosure with verifiable timestamp. SHA-256 hash of this file is provided in the repository’s</w:t>
      </w:r>
      <w:r>
        <w:t xml:space="preserve"> </w:t>
      </w:r>
      <w:r>
        <w:rPr>
          <w:rStyle w:val="VerbatimChar"/>
        </w:rPr>
        <w:t xml:space="preserve">FILE_HASHES.txt</w:t>
      </w:r>
      <w:r>
        <w:t xml:space="preserve"> </w:t>
      </w:r>
      <w:r>
        <w:t xml:space="preserve">and may be cross-referenced via independent timestamping services.</w:t>
      </w:r>
    </w:p>
    <w:p>
      <w:r>
        <w:pict>
          <v:rect style="width:0;height:1.5pt" o:hralign="center" o:hrstd="t" o:hr="t"/>
        </w:pict>
      </w:r>
    </w:p>
    <w:p>
      <w:pPr>
        <w:pStyle w:val="FirstParagraph"/>
      </w:pPr>
      <w:r>
        <w:rPr>
          <w:i/>
          <w:iCs/>
        </w:rPr>
        <w:t xml:space="preserve">This is a defensive technical disclosure published to establish prior art. No license is granted or implied for trademarks. The discloser makes no representation or warranty regarding regulatory status, safety, efficacy, or commercial viability of any disclosed composition or method.</w:t>
      </w:r>
    </w:p>
    <w:p>
      <w:pPr>
        <w:pStyle w:val="BodyText"/>
      </w:pPr>
      <w:r>
        <w:rPr>
          <w:i/>
          <w:iCs/>
        </w:rPr>
        <w:t xml:space="preserve">Prepared and dedicated to the public domain on May 5, 2026 by</w:t>
      </w:r>
      <w:r>
        <w:rPr>
          <w:i/>
          <w:iCs/>
        </w:rPr>
        <w:t xml:space="preserve"> </w:t>
      </w:r>
      <w:hyperlink r:id="rId9">
        <w:r>
          <w:rPr>
            <w:rStyle w:val="Hyperlink"/>
            <w:i/>
            <w:iCs/>
          </w:rPr>
          <w:t xml:space="preserve">@apbakst</w:t>
        </w:r>
      </w:hyperlink>
      <w:r>
        <w:rPr>
          <w:i/>
          <w:iCs/>
        </w:rPr>
        <w:t xml:space="preserve">.</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1"/>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2">
    <w:abstractNumId w:val="991"/>
  </w:num>
  <w:num w:numId="1013">
    <w:abstractNumId w:val="991"/>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https://creativecommons.org/publicdomain/zero/1.0/" TargetMode="External" /><Relationship Type="http://schemas.openxmlformats.org/officeDocument/2006/relationships/hyperlink" Id="rId9" Target="https://github.com/apbakst" TargetMode="External" /></Relationships>
</file>

<file path=word/_rels/footnotes.xml.rels><?xml version="1.0" encoding="UTF-8"?><Relationships xmlns="http://schemas.openxmlformats.org/package/2006/relationships"><Relationship Type="http://schemas.openxmlformats.org/officeDocument/2006/relationships/hyperlink" Id="rId11" Target="https://creativecommons.org/publicdomain/zero/1.0/" TargetMode="External" /><Relationship Type="http://schemas.openxmlformats.org/officeDocument/2006/relationships/hyperlink" Id="rId9" Target="https://github.com/apbaks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2026-05-06T12:56:24Z</dcterms:created>
  <dcterms:modified xsi:type="dcterms:W3CDTF">2026-05-06T12:56:24Z</dcterms:modified>
</cp:coreProperties>
</file>

<file path=docProps/custom.xml><?xml version="1.0" encoding="utf-8"?>
<Properties xmlns="http://schemas.openxmlformats.org/officeDocument/2006/custom-properties" xmlns:vt="http://schemas.openxmlformats.org/officeDocument/2006/docPropsVTypes"/>
</file>