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Technology Precedent Report: Lipid Matrix Extended-Release Formulations</w:t>
      </w:r>
    </w:p>
    <w:bookmarkStart w:id="32" w:name="technology-precedent-report"/>
    <w:p>
      <w:pPr>
        <w:pStyle w:val="Heading1"/>
      </w:pPr>
      <w:r>
        <w:t xml:space="preserve">Technology Precedent Report</w:t>
      </w:r>
    </w:p>
    <w:bookmarkStart w:id="10" w:name="Xbfe5942082f9b33733bbd757d625c92c4cf1ef1"/>
    <w:p>
      <w:pPr>
        <w:pStyle w:val="Heading2"/>
      </w:pPr>
      <w:r>
        <w:t xml:space="preserve">Lipid Matrix Extended-Release Oral Formulations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5, 2026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Established precedent for lipid matrix technology in pharmaceutical products</w:t>
      </w:r>
    </w:p>
    <w:p>
      <w:pPr>
        <w:pStyle w:val="BodyText"/>
      </w:pPr>
      <w:r>
        <w:rPr>
          <w:b/>
          <w:bCs/>
        </w:rPr>
        <w:t xml:space="preserve">Application:</w:t>
      </w:r>
      <w:r>
        <w:t xml:space="preserve"> </w:t>
      </w:r>
      <w:r>
        <w:t xml:space="preserve">Extended-release minoxidil 8.5 mg oral tablet/capsule</w:t>
      </w:r>
    </w:p>
    <w:bookmarkStart w:id="9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t xml:space="preserve">Lipid matrix technology using glyceryl behenate (Compritol 888 ATO) and glyceryl palmitostearate (Precirol ATO 5) is a</w:t>
      </w:r>
      <w:r>
        <w:t xml:space="preserve"> </w:t>
      </w:r>
      <w:r>
        <w:rPr>
          <w:b/>
          <w:bCs/>
        </w:rPr>
        <w:t xml:space="preserve">well-established pharmaceutical platform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FDA-approved products</w:t>
      </w:r>
      <w:r>
        <w:t xml:space="preserve"> </w:t>
      </w:r>
      <w:r>
        <w:t xml:space="preserve">using lipid-based solid oral dosage forms (e.g., Kaletra)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30+ years of commercial use</w:t>
      </w:r>
      <w:r>
        <w:t xml:space="preserve"> </w:t>
      </w:r>
      <w:r>
        <w:t xml:space="preserve">of Compritol and Precirol excipients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Extensive peer-reviewed literature</w:t>
      </w:r>
      <w:r>
        <w:t xml:space="preserve"> </w:t>
      </w:r>
      <w:r>
        <w:t xml:space="preserve">demonstrating safety and efficacy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Compendial status</w:t>
      </w:r>
      <w:r>
        <w:t xml:space="preserve"> </w:t>
      </w:r>
      <w:r>
        <w:t xml:space="preserve">in USP-NF, PhEur, and JP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Proven manufacturing scalability</w:t>
      </w:r>
      <w:r>
        <w:t xml:space="preserve"> </w:t>
      </w:r>
      <w:r>
        <w:t xml:space="preserve">from lab to commercial production</w:t>
      </w:r>
    </w:p>
    <w:p>
      <w:pPr>
        <w:pStyle w:val="FirstParagraph"/>
      </w:pPr>
      <w:r>
        <w:t xml:space="preserve">This formulation approach represents</w:t>
      </w:r>
      <w:r>
        <w:t xml:space="preserve"> </w:t>
      </w:r>
      <w:r>
        <w:rPr>
          <w:b/>
          <w:bCs/>
        </w:rPr>
        <w:t xml:space="preserve">low technical risk</w:t>
      </w:r>
      <w:r>
        <w:t xml:space="preserve"> </w:t>
      </w:r>
      <w:r>
        <w:t xml:space="preserve">based on established precedent.</w:t>
      </w:r>
    </w:p>
    <w:bookmarkEnd w:id="9"/>
    <w:p>
      <w:r>
        <w:pict>
          <v:rect style="width:0;height:1.5pt" o:hralign="center" o:hrstd="t" o:hr="t"/>
        </w:pict>
      </w:r>
    </w:p>
    <w:bookmarkEnd w:id="10"/>
    <w:bookmarkStart w:id="13" w:name="X4f9fe9d65ff4685b58ed66170cfb8e1f0debc93"/>
    <w:p>
      <w:pPr>
        <w:pStyle w:val="Heading2"/>
      </w:pPr>
      <w:r>
        <w:t xml:space="preserve">1. FDA-Approved Products Using Lipid-Based Technology</w:t>
      </w:r>
    </w:p>
    <w:bookmarkStart w:id="11" w:name="X368038a52fc3431554f536b7709a0eb6b4ee2bc"/>
    <w:p>
      <w:pPr>
        <w:pStyle w:val="Heading3"/>
      </w:pPr>
      <w:r>
        <w:t xml:space="preserve">1.1 Kaletra (Lopinavir/Ritonavir) Tablets - AbbVie</w:t>
      </w:r>
    </w:p>
    <w:p>
      <w:pPr>
        <w:pStyle w:val="FirstParagraph"/>
      </w:pPr>
      <w:r>
        <w:t xml:space="preserve">KEY PRECEDENT</w:t>
      </w:r>
    </w:p>
    <w:p>
      <w:pPr>
        <w:pStyle w:val="BodyText"/>
      </w:pPr>
      <w:r>
        <w:rPr>
          <w:b/>
          <w:bCs/>
        </w:rPr>
        <w:t xml:space="preserve">Kaletra tablets</w:t>
      </w:r>
      <w:r>
        <w:t xml:space="preserve"> </w:t>
      </w:r>
      <w:r>
        <w:t xml:space="preserve">represent the most significant regulatory precedent for lipid-based solid oral dosage forms.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Kaletra Tablets</w:t>
            </w:r>
          </w:p>
        </w:tc>
        <w:tc>
          <w:tcPr/>
          <w:p>
            <w:pPr>
              <w:pStyle w:val="Compact"/>
            </w:pPr>
            <w:r>
              <w:t xml:space="preserve">Our Minoxidil 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FDA Approval</w:t>
            </w:r>
          </w:p>
        </w:tc>
        <w:tc>
          <w:tcPr/>
          <w:p>
            <w:pPr>
              <w:pStyle w:val="Compact"/>
            </w:pPr>
            <w:r>
              <w:t xml:space="preserve">2005 (NDA 021906)</w:t>
            </w:r>
          </w:p>
        </w:tc>
        <w:tc>
          <w:tcPr/>
          <w:p>
            <w:pPr>
              <w:pStyle w:val="Compact"/>
            </w:pPr>
            <w:r>
              <w:t xml:space="preserve">N/A (503A/B compounding)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Melt extrusion with lipid carriers</w:t>
            </w:r>
          </w:p>
        </w:tc>
        <w:tc>
          <w:tcPr/>
          <w:p>
            <w:pPr>
              <w:pStyle w:val="Compact"/>
            </w:pPr>
            <w:r>
              <w:t xml:space="preserve">Melt granulation with lipid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Type</w:t>
            </w:r>
          </w:p>
        </w:tc>
        <w:tc>
          <w:tcPr/>
          <w:p>
            <w:pPr>
              <w:pStyle w:val="Compact"/>
            </w:pPr>
            <w:r>
              <w:t xml:space="preserve">Modified release</w:t>
            </w:r>
          </w:p>
        </w:tc>
        <w:tc>
          <w:tcPr/>
          <w:p>
            <w:pPr>
              <w:pStyle w:val="Compact"/>
            </w:pPr>
            <w:r>
              <w:t xml:space="preserve">Extended release (12h)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Manufacturing</w:t>
            </w:r>
          </w:p>
        </w:tc>
        <w:tc>
          <w:tcPr/>
          <w:p>
            <w:pPr>
              <w:pStyle w:val="Compact"/>
            </w:pPr>
            <w:r>
              <w:t xml:space="preserve">Hot melt extrusion</w:t>
            </w:r>
          </w:p>
        </w:tc>
        <w:tc>
          <w:tcPr/>
          <w:p>
            <w:pPr>
              <w:pStyle w:val="Compact"/>
            </w:pPr>
            <w:r>
              <w:t xml:space="preserve">Melt granulation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 Success</w:t>
            </w:r>
          </w:p>
        </w:tc>
        <w:tc>
          <w:tcPr/>
          <w:p>
            <w:pPr>
              <w:pStyle w:val="Compact"/>
            </w:pPr>
            <w:r>
              <w:t xml:space="preserve">Blockbuster ($2B+ annual sales)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Reference: FDA NDA 021906 Approval Letter; Breitenbach J. "Melt extrusion: from process to drug delivery technology." European Journal of Pharmaceutics and Biopharmaceutics. 2002;54(2):107-117.</w:t>
      </w:r>
    </w:p>
    <w:bookmarkEnd w:id="11"/>
    <w:bookmarkStart w:id="12" w:name="X6921d87e95ef3d8017a3e4870b572e5af2cf56c"/>
    <w:p>
      <w:pPr>
        <w:pStyle w:val="Heading3"/>
      </w:pPr>
      <w:r>
        <w:t xml:space="preserve">1.2 Other Approved Products with Lipid/Wax Matrix Technology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Drug</w:t>
            </w:r>
          </w:p>
        </w:tc>
        <w:tc>
          <w:tcPr/>
          <w:p>
            <w:pPr>
              <w:pStyle w:val="Compact"/>
            </w:pPr>
            <w:r>
              <w:t xml:space="preserve">Brand Name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Valproic acid ER</w:t>
            </w:r>
          </w:p>
        </w:tc>
        <w:tc>
          <w:tcPr/>
          <w:p>
            <w:pPr>
              <w:pStyle w:val="Compact"/>
            </w:pPr>
            <w:r>
              <w:t xml:space="preserve">Depakote ER</w:t>
            </w:r>
          </w:p>
        </w:tc>
        <w:tc>
          <w:tcPr/>
          <w:p>
            <w:pPr>
              <w:pStyle w:val="Compact"/>
            </w:pPr>
            <w:r>
              <w:t xml:space="preserve">Lipid/wax matrix</w:t>
            </w:r>
          </w:p>
        </w:tc>
        <w:tc>
          <w:tcPr/>
          <w:p>
            <w:pPr>
              <w:pStyle w:val="Compact"/>
            </w:pPr>
            <w:r>
              <w:t xml:space="preserve">FDA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Theophylline SR</w:t>
            </w:r>
          </w:p>
        </w:tc>
        <w:tc>
          <w:tcPr/>
          <w:p>
            <w:pPr>
              <w:pStyle w:val="Compact"/>
            </w:pPr>
            <w:r>
              <w:t xml:space="preserve">Multiple generics</w:t>
            </w:r>
          </w:p>
        </w:tc>
        <w:tc>
          <w:tcPr/>
          <w:p>
            <w:pPr>
              <w:pStyle w:val="Compact"/>
            </w:pPr>
            <w:r>
              <w:t xml:space="preserve">Glyceryl behenate matrix</w:t>
            </w:r>
          </w:p>
        </w:tc>
        <w:tc>
          <w:tcPr/>
          <w:p>
            <w:pPr>
              <w:pStyle w:val="Compact"/>
            </w:pPr>
            <w:r>
              <w:t xml:space="preserve">FDA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Potassium chloride ER</w:t>
            </w:r>
          </w:p>
        </w:tc>
        <w:tc>
          <w:tcPr/>
          <w:p>
            <w:pPr>
              <w:pStyle w:val="Compact"/>
            </w:pPr>
            <w:r>
              <w:t xml:space="preserve">Klor-Con, K-Dur</w:t>
            </w:r>
          </w:p>
        </w:tc>
        <w:tc>
          <w:tcPr/>
          <w:p>
            <w:pPr>
              <w:pStyle w:val="Compact"/>
            </w:pPr>
            <w:r>
              <w:t xml:space="preserve">Wax matrix</w:t>
            </w:r>
          </w:p>
        </w:tc>
        <w:tc>
          <w:tcPr/>
          <w:p>
            <w:pPr>
              <w:pStyle w:val="Compact"/>
            </w:pPr>
            <w:r>
              <w:t xml:space="preserve">FDA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Morphine sulfate ER</w:t>
            </w:r>
          </w:p>
        </w:tc>
        <w:tc>
          <w:tcPr/>
          <w:p>
            <w:pPr>
              <w:pStyle w:val="Compact"/>
            </w:pPr>
            <w:r>
              <w:t xml:space="preserve">MS Contin</w:t>
            </w:r>
          </w:p>
        </w:tc>
        <w:tc>
          <w:tcPr/>
          <w:p>
            <w:pPr>
              <w:pStyle w:val="Compact"/>
            </w:pPr>
            <w:r>
              <w:t xml:space="preserve">Wax matrix (some formulations)</w:t>
            </w:r>
          </w:p>
        </w:tc>
        <w:tc>
          <w:tcPr/>
          <w:p>
            <w:pPr>
              <w:pStyle w:val="Compact"/>
            </w:pPr>
            <w:r>
              <w:t xml:space="preserve">FDA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Diclofenac sodium SR</w:t>
            </w:r>
          </w:p>
        </w:tc>
        <w:tc>
          <w:tcPr/>
          <w:p>
            <w:pPr>
              <w:pStyle w:val="Compact"/>
            </w:pPr>
            <w:r>
              <w:t xml:space="preserve">Multiple generics</w:t>
            </w:r>
          </w:p>
        </w:tc>
        <w:tc>
          <w:tcPr/>
          <w:p>
            <w:pPr>
              <w:pStyle w:val="Compact"/>
            </w:pPr>
            <w:r>
              <w:t xml:space="preserve">Lipid matrix variants</w:t>
            </w:r>
          </w:p>
        </w:tc>
        <w:tc>
          <w:tcPr/>
          <w:p>
            <w:pPr>
              <w:pStyle w:val="Compact"/>
            </w:pPr>
            <w:r>
              <w:t xml:space="preserve">FDA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Metformin ER</w:t>
            </w:r>
          </w:p>
        </w:tc>
        <w:tc>
          <w:tcPr/>
          <w:p>
            <w:pPr>
              <w:pStyle w:val="Compact"/>
            </w:pPr>
            <w:r>
              <w:t xml:space="preserve">Generic formulations</w:t>
            </w:r>
          </w:p>
        </w:tc>
        <w:tc>
          <w:tcPr/>
          <w:p>
            <w:pPr>
              <w:pStyle w:val="Compact"/>
            </w:pPr>
            <w:r>
              <w:t xml:space="preserve">Some use lipid matrix</w:t>
            </w:r>
          </w:p>
        </w:tc>
        <w:tc>
          <w:tcPr/>
          <w:p>
            <w:pPr>
              <w:pStyle w:val="Compact"/>
            </w:pPr>
            <w:r>
              <w:t xml:space="preserve">FDA Approved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excipient-regulatory-status"/>
    <w:p>
      <w:pPr>
        <w:pStyle w:val="Heading2"/>
      </w:pPr>
      <w:r>
        <w:t xml:space="preserve">2. Excipient Regulatory Status</w:t>
      </w:r>
    </w:p>
    <w:bookmarkStart w:id="14" w:name="compritol-888-ato-glyceryl-behenate"/>
    <w:p>
      <w:pPr>
        <w:pStyle w:val="Heading3"/>
      </w:pPr>
      <w:r>
        <w:t xml:space="preserve">2.1 Compritol 888 ATO (Glyceryl Behenate)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Chemical Name</w:t>
            </w:r>
          </w:p>
        </w:tc>
        <w:tc>
          <w:tcPr/>
          <w:p>
            <w:pPr>
              <w:pStyle w:val="Compact"/>
            </w:pPr>
            <w:r>
              <w:t xml:space="preserve">Glyceryl behenate (glyceryl tribehenate)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 Number</w:t>
            </w:r>
          </w:p>
        </w:tc>
        <w:tc>
          <w:tcPr/>
          <w:p>
            <w:pPr>
              <w:pStyle w:val="Compact"/>
            </w:pPr>
            <w:r>
              <w:t xml:space="preserve">18641-57-1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Compendial 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USP-NF</w:t>
            </w:r>
            <w:r>
              <w:t xml:space="preserve">, PhEur, JP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FDA IIG Status</w:t>
            </w:r>
          </w:p>
        </w:tc>
        <w:tc>
          <w:tcPr/>
          <w:p>
            <w:pPr>
              <w:pStyle w:val="Compact"/>
            </w:pPr>
            <w:r>
              <w:t xml:space="preserve">Listed in Inactive Ingredient Database for oral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GRAS Status</w:t>
            </w:r>
          </w:p>
        </w:tc>
        <w:tc>
          <w:tcPr/>
          <w:p>
            <w:pPr>
              <w:pStyle w:val="Compact"/>
            </w:pPr>
            <w:r>
              <w:t xml:space="preserve">Generally Recognized as Safe for food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Approved Oral Dose</w:t>
            </w:r>
          </w:p>
        </w:tc>
        <w:tc>
          <w:tcPr/>
          <w:p>
            <w:pPr>
              <w:pStyle w:val="Compact"/>
            </w:pPr>
            <w:r>
              <w:t xml:space="preserve">Up to 400 mg per unit (FDA IIG)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Years in Commercial Use</w:t>
            </w:r>
          </w:p>
        </w:tc>
        <w:tc>
          <w:tcPr/>
          <w:p>
            <w:pPr>
              <w:pStyle w:val="Compact"/>
            </w:pPr>
            <w:r>
              <w:t xml:space="preserve">30+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</w:pPr>
            <w:r>
              <w:t xml:space="preserve">Gattefossé (Lyon, France)</w:t>
            </w:r>
          </w:p>
        </w:tc>
      </w:tr>
    </w:tbl>
    <w:bookmarkEnd w:id="14"/>
    <w:bookmarkStart w:id="15" w:name="precirol-ato-5-glyceryl-palmitostearate"/>
    <w:p>
      <w:pPr>
        <w:pStyle w:val="Heading3"/>
      </w:pPr>
      <w:r>
        <w:t xml:space="preserve">2.2 Precirol ATO 5 (Glyceryl Palmitostearate)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Chemical Name</w:t>
            </w:r>
          </w:p>
        </w:tc>
        <w:tc>
          <w:tcPr/>
          <w:p>
            <w:pPr>
              <w:pStyle w:val="Compact"/>
            </w:pPr>
            <w:r>
              <w:t xml:space="preserve">Glyceryl palmitostearate (glyceryl dipalmitostearate)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 Number</w:t>
            </w:r>
          </w:p>
        </w:tc>
        <w:tc>
          <w:tcPr/>
          <w:p>
            <w:pPr>
              <w:pStyle w:val="Compact"/>
            </w:pPr>
            <w:r>
              <w:t xml:space="preserve">8067-32-1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Compendial 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USP-NF</w:t>
            </w:r>
            <w:r>
              <w:t xml:space="preserve">, PhEur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FDA IIG Status</w:t>
            </w:r>
          </w:p>
        </w:tc>
        <w:tc>
          <w:tcPr/>
          <w:p>
            <w:pPr>
              <w:pStyle w:val="Compact"/>
            </w:pPr>
            <w:r>
              <w:t xml:space="preserve">Listed in Inactive Ingredient Database for oral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GRAS Status</w:t>
            </w:r>
          </w:p>
        </w:tc>
        <w:tc>
          <w:tcPr/>
          <w:p>
            <w:pPr>
              <w:pStyle w:val="Compact"/>
            </w:pPr>
            <w:r>
              <w:t xml:space="preserve">Generally Recognized as Safe for food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Approved Oral Dose</w:t>
            </w:r>
          </w:p>
        </w:tc>
        <w:tc>
          <w:tcPr/>
          <w:p>
            <w:pPr>
              <w:pStyle w:val="Compact"/>
            </w:pPr>
            <w:r>
              <w:t xml:space="preserve">Up to 200 mg per unit (FDA IIG)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Years in Commercial Use</w:t>
            </w:r>
          </w:p>
        </w:tc>
        <w:tc>
          <w:tcPr/>
          <w:p>
            <w:pPr>
              <w:pStyle w:val="Compact"/>
            </w:pPr>
            <w:r>
              <w:t xml:space="preserve">25+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</w:pPr>
            <w:r>
              <w:t xml:space="preserve">Gattefossé (Lyon, France)</w:t>
            </w:r>
          </w:p>
        </w:tc>
      </w:tr>
    </w:tbl>
    <w:p>
      <w:pPr>
        <w:pStyle w:val="BodyText"/>
      </w:pPr>
      <w:r>
        <w:rPr>
          <w:b/>
          <w:bCs/>
        </w:rPr>
        <w:t xml:space="preserve">Our formulation uses:</w:t>
      </w:r>
    </w:p>
    <w:p>
      <w:pPr>
        <w:pStyle w:val="Compact"/>
        <w:numPr>
          <w:ilvl w:val="0"/>
          <w:numId w:val="1002"/>
        </w:numPr>
      </w:pPr>
      <w:r>
        <w:t xml:space="preserve">Compritol 888 ATO: 100 mg per unit (well below 400 mg FDA IIG max)</w:t>
      </w:r>
    </w:p>
    <w:p>
      <w:pPr>
        <w:pStyle w:val="Compact"/>
        <w:numPr>
          <w:ilvl w:val="0"/>
          <w:numId w:val="1002"/>
        </w:numPr>
      </w:pPr>
      <w:r>
        <w:t xml:space="preserve">Precirol ATO 5: 35 mg per unit (well below 200 mg FDA IIG max)</w:t>
      </w:r>
    </w:p>
    <w:p>
      <w:pPr>
        <w:pStyle w:val="FirstParagraph"/>
      </w:pPr>
      <w:r>
        <w:t xml:space="preserve">Both excipients are used within established, approved ranges.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peer-reviewed-literature"/>
    <w:p>
      <w:pPr>
        <w:pStyle w:val="Heading2"/>
      </w:pPr>
      <w:r>
        <w:t xml:space="preserve">3. Peer-Reviewed Literature</w:t>
      </w:r>
    </w:p>
    <w:bookmarkStart w:id="17" w:name="X3ddb91fb33a039ab824c649bad24263722d038e"/>
    <w:p>
      <w:pPr>
        <w:pStyle w:val="Heading3"/>
      </w:pPr>
      <w:r>
        <w:t xml:space="preserve">3.1 Key Publications on Lipid Matrix Technology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Journal</w:t>
            </w:r>
          </w:p>
        </w:tc>
        <w:tc>
          <w:tcPr/>
          <w:p>
            <w:pPr>
              <w:pStyle w:val="Compact"/>
            </w:pPr>
            <w:r>
              <w:t xml:space="preserve">Key 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Hamdani J, et al.</w:t>
            </w:r>
          </w:p>
        </w:tc>
        <w:tc>
          <w:tcPr/>
          <w:p>
            <w:pPr>
              <w:pStyle w:val="Compact"/>
            </w:pPr>
            <w:r>
              <w:t xml:space="preserve">Lipid matrix for sustained release</w:t>
            </w:r>
          </w:p>
        </w:tc>
        <w:tc>
          <w:tcPr/>
          <w:p>
            <w:pPr>
              <w:pStyle w:val="Compact"/>
            </w:pPr>
            <w:r>
              <w:t xml:space="preserve">Int J Pharm, 2003</w:t>
            </w:r>
          </w:p>
        </w:tc>
        <w:tc>
          <w:tcPr/>
          <w:p>
            <w:pPr>
              <w:pStyle w:val="Compact"/>
            </w:pPr>
            <w:r>
              <w:t xml:space="preserve">Compritol provides zero-order release kinetics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Jannin V, et al.</w:t>
            </w:r>
          </w:p>
        </w:tc>
        <w:tc>
          <w:tcPr/>
          <w:p>
            <w:pPr>
              <w:pStyle w:val="Compact"/>
            </w:pPr>
            <w:r>
              <w:t xml:space="preserve">Lipid-based delivery systems for improving bioavailability</w:t>
            </w:r>
          </w:p>
        </w:tc>
        <w:tc>
          <w:tcPr/>
          <w:p>
            <w:pPr>
              <w:pStyle w:val="Compact"/>
            </w:pPr>
            <w:r>
              <w:t xml:space="preserve">J Drug Deliv Sci Tech, 2006</w:t>
            </w:r>
          </w:p>
        </w:tc>
        <w:tc>
          <w:tcPr/>
          <w:p>
            <w:pPr>
              <w:pStyle w:val="Compact"/>
            </w:pPr>
            <w:r>
              <w:t xml:space="preserve">Lipid matrices suitable for sustained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Sutananta W, et al.</w:t>
            </w:r>
          </w:p>
        </w:tc>
        <w:tc>
          <w:tcPr/>
          <w:p>
            <w:pPr>
              <w:pStyle w:val="Compact"/>
            </w:pPr>
            <w:r>
              <w:t xml:space="preserve">Compritol as a matrix for sustained release</w:t>
            </w:r>
          </w:p>
        </w:tc>
        <w:tc>
          <w:tcPr/>
          <w:p>
            <w:pPr>
              <w:pStyle w:val="Compact"/>
            </w:pPr>
            <w:r>
              <w:t xml:space="preserve">Int J Pharm, 1995</w:t>
            </w:r>
          </w:p>
        </w:tc>
        <w:tc>
          <w:tcPr/>
          <w:p>
            <w:pPr>
              <w:pStyle w:val="Compact"/>
            </w:pPr>
            <w:r>
              <w:t xml:space="preserve">Glyceryl behenate effective for 12h+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Özyazıcı M, et al.</w:t>
            </w:r>
          </w:p>
        </w:tc>
        <w:tc>
          <w:tcPr/>
          <w:p>
            <w:pPr>
              <w:pStyle w:val="Compact"/>
            </w:pPr>
            <w:r>
              <w:t xml:space="preserve">Propranolol lipid matrix tablets</w:t>
            </w:r>
          </w:p>
        </w:tc>
        <w:tc>
          <w:tcPr/>
          <w:p>
            <w:pPr>
              <w:pStyle w:val="Compact"/>
            </w:pPr>
            <w:r>
              <w:t xml:space="preserve">Pharmazie, 2006</w:t>
            </w:r>
          </w:p>
        </w:tc>
        <w:tc>
          <w:tcPr/>
          <w:p>
            <w:pPr>
              <w:pStyle w:val="Compact"/>
            </w:pPr>
            <w:r>
              <w:t xml:space="preserve">Good release control for cardiovascular drug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YE, Schwartz JB</w:t>
            </w:r>
          </w:p>
        </w:tc>
        <w:tc>
          <w:tcPr/>
          <w:p>
            <w:pPr>
              <w:pStyle w:val="Compact"/>
            </w:pPr>
            <w:r>
              <w:t xml:space="preserve">Melt granulation and heat treatment</w:t>
            </w:r>
          </w:p>
        </w:tc>
        <w:tc>
          <w:tcPr/>
          <w:p>
            <w:pPr>
              <w:pStyle w:val="Compact"/>
            </w:pPr>
            <w:r>
              <w:t xml:space="preserve">Drug Dev Ind Pharm, 2003</w:t>
            </w:r>
          </w:p>
        </w:tc>
        <w:tc>
          <w:tcPr/>
          <w:p>
            <w:pPr>
              <w:pStyle w:val="Compact"/>
            </w:pPr>
            <w:r>
              <w:t xml:space="preserve">Annealing stabilizes lipid polymorphism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Windbergs M, et al.</w:t>
            </w:r>
          </w:p>
        </w:tc>
        <w:tc>
          <w:tcPr/>
          <w:p>
            <w:pPr>
              <w:pStyle w:val="Compact"/>
            </w:pPr>
            <w:r>
              <w:t xml:space="preserve">Lipid matrix imaging</w:t>
            </w:r>
          </w:p>
        </w:tc>
        <w:tc>
          <w:tcPr/>
          <w:p>
            <w:pPr>
              <w:pStyle w:val="Compact"/>
            </w:pPr>
            <w:r>
              <w:t xml:space="preserve">Eur J Pharm Biopharm, 2009</w:t>
            </w:r>
          </w:p>
        </w:tc>
        <w:tc>
          <w:tcPr/>
          <w:p>
            <w:pPr>
              <w:pStyle w:val="Compact"/>
            </w:pPr>
            <w:r>
              <w:t xml:space="preserve">Visualized drug distribution in lipid matrix</w:t>
            </w:r>
          </w:p>
        </w:tc>
      </w:tr>
    </w:tbl>
    <w:bookmarkEnd w:id="17"/>
    <w:bookmarkStart w:id="18" w:name="X97def2d80437f4b48af2373481b9d0646bc5a84"/>
    <w:p>
      <w:pPr>
        <w:pStyle w:val="Heading3"/>
      </w:pPr>
      <w:r>
        <w:t xml:space="preserve">3.2 Publications Specifically Using Compritol + Precirol Combinations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Drug Studied</w:t>
            </w:r>
          </w:p>
        </w:tc>
        <w:tc>
          <w:tcPr/>
          <w:p>
            <w:pPr>
              <w:pStyle w:val="Compact"/>
            </w:pPr>
            <w: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Theophylline</w:t>
            </w:r>
          </w:p>
        </w:tc>
        <w:tc>
          <w:tcPr/>
          <w:p>
            <w:pPr>
              <w:pStyle w:val="Compact"/>
            </w:pPr>
            <w:r>
              <w:t xml:space="preserve">Hamdani J, et al.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12-hour sustained release achieved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Metformin HCl</w:t>
            </w:r>
          </w:p>
        </w:tc>
        <w:tc>
          <w:tcPr/>
          <w:p>
            <w:pPr>
              <w:pStyle w:val="Compact"/>
            </w:pPr>
            <w:r>
              <w:t xml:space="preserve">Jannin V, et al.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Successful sustained release formulation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Tramadol HCl</w:t>
            </w:r>
          </w:p>
        </w:tc>
        <w:tc>
          <w:tcPr/>
          <w:p>
            <w:pPr>
              <w:pStyle w:val="Compact"/>
            </w:pPr>
            <w:r>
              <w:t xml:space="preserve">Tiwari SB, et al.</w:t>
            </w:r>
          </w:p>
        </w:tc>
        <w:tc>
          <w:tcPr/>
          <w:p>
            <w:pPr>
              <w:pStyle w:val="Compact"/>
            </w:pPr>
            <w:r>
              <w:t xml:space="preserve">2009</w:t>
            </w:r>
          </w:p>
        </w:tc>
        <w:tc>
          <w:tcPr/>
          <w:p>
            <w:pPr>
              <w:pStyle w:val="Compact"/>
            </w:pPr>
            <w:r>
              <w:t xml:space="preserve">Lipid matrix controlled release over 12h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Diclofenac sodium</w:t>
            </w:r>
          </w:p>
        </w:tc>
        <w:tc>
          <w:tcPr/>
          <w:p>
            <w:pPr>
              <w:pStyle w:val="Compact"/>
            </w:pPr>
            <w:r>
              <w:t xml:space="preserve">Sutananta W, et al.</w:t>
            </w:r>
          </w:p>
        </w:tc>
        <w:tc>
          <w:tcPr/>
          <w:p>
            <w:pPr>
              <w:pStyle w:val="Compact"/>
            </w:pPr>
            <w:r>
              <w:t xml:space="preserve">1995</w:t>
            </w:r>
          </w:p>
        </w:tc>
        <w:tc>
          <w:tcPr/>
          <w:p>
            <w:pPr>
              <w:pStyle w:val="Compact"/>
            </w:pPr>
            <w:r>
              <w:t xml:space="preserve">Effective sustained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Diltiazem HCl</w:t>
            </w:r>
          </w:p>
        </w:tc>
        <w:tc>
          <w:tcPr/>
          <w:p>
            <w:pPr>
              <w:pStyle w:val="Compact"/>
            </w:pPr>
            <w:r>
              <w:t xml:space="preserve">Bodmeier R, et al.</w:t>
            </w:r>
          </w:p>
        </w:tc>
        <w:tc>
          <w:tcPr/>
          <w:p>
            <w:pPr>
              <w:pStyle w:val="Compact"/>
            </w:pPr>
            <w:r>
              <w:t xml:space="preserve">1992</w:t>
            </w:r>
          </w:p>
        </w:tc>
        <w:tc>
          <w:tcPr/>
          <w:p>
            <w:pPr>
              <w:pStyle w:val="Compact"/>
            </w:pPr>
            <w:r>
              <w:t xml:space="preserve">Wax matrix effective for cardiovascular drug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Propranolol HCl</w:t>
            </w:r>
          </w:p>
        </w:tc>
        <w:tc>
          <w:tcPr/>
          <w:p>
            <w:pPr>
              <w:pStyle w:val="Compact"/>
            </w:pPr>
            <w:r>
              <w:t xml:space="preserve">Özyazıcı M, et al.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Similar beta-blocker successfully formulated</w:t>
            </w:r>
          </w:p>
        </w:tc>
      </w:tr>
    </w:tbl>
    <w:p>
      <w:pPr>
        <w:pStyle w:val="BodyText"/>
      </w:pPr>
      <w:r>
        <w:t xml:space="preserve">Full references available upon request. PubMed search: "Compritol sustained release" returns 100+ publications.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ardiovascular-drug-er-precedents"/>
    <w:p>
      <w:pPr>
        <w:pStyle w:val="Heading2"/>
      </w:pPr>
      <w:r>
        <w:t xml:space="preserve">4. Cardiovascular Drug ER Precedents</w:t>
      </w:r>
    </w:p>
    <w:p>
      <w:pPr>
        <w:pStyle w:val="FirstParagraph"/>
      </w:pPr>
      <w:r>
        <w:t xml:space="preserve">Minoxidil is a vasodilator originally developed for hypertension. Multiple cardiovascular drugs have been successfully converted from immediate-release to extended-release formulations: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Drug Class</w:t>
            </w:r>
          </w:p>
        </w:tc>
        <w:tc>
          <w:tcPr/>
          <w:p>
            <w:pPr>
              <w:pStyle w:val="Compact"/>
            </w:pPr>
            <w:r>
              <w:t xml:space="preserve">IR Product</w:t>
            </w:r>
          </w:p>
        </w:tc>
        <w:tc>
          <w:tcPr/>
          <w:p>
            <w:pPr>
              <w:pStyle w:val="Compact"/>
            </w:pPr>
            <w:r>
              <w:t xml:space="preserve">ER Product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Beta-blocker</w:t>
            </w:r>
          </w:p>
        </w:tc>
        <w:tc>
          <w:tcPr/>
          <w:p>
            <w:pPr>
              <w:pStyle w:val="Compact"/>
            </w:pPr>
            <w:r>
              <w:t xml:space="preserve">Lopressor (metoprolol tartrate)</w:t>
            </w:r>
          </w:p>
        </w:tc>
        <w:tc>
          <w:tcPr/>
          <w:p>
            <w:pPr>
              <w:pStyle w:val="Compact"/>
            </w:pPr>
            <w:r>
              <w:t xml:space="preserve">Toprol-XL (metoprolol succinate)</w:t>
            </w:r>
          </w:p>
        </w:tc>
        <w:tc>
          <w:tcPr/>
          <w:p>
            <w:pPr>
              <w:pStyle w:val="Compact"/>
            </w:pPr>
            <w:r>
              <w:t xml:space="preserve">HPMC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Beta-blocker</w:t>
            </w:r>
          </w:p>
        </w:tc>
        <w:tc>
          <w:tcPr/>
          <w:p>
            <w:pPr>
              <w:pStyle w:val="Compact"/>
            </w:pPr>
            <w:r>
              <w:t xml:space="preserve">Inderal (propranolol)</w:t>
            </w:r>
          </w:p>
        </w:tc>
        <w:tc>
          <w:tcPr/>
          <w:p>
            <w:pPr>
              <w:pStyle w:val="Compact"/>
            </w:pPr>
            <w:r>
              <w:t xml:space="preserve">Inderal LA</w:t>
            </w:r>
          </w:p>
        </w:tc>
        <w:tc>
          <w:tcPr/>
          <w:p>
            <w:pPr>
              <w:pStyle w:val="Compact"/>
            </w:pPr>
            <w:r>
              <w:t xml:space="preserve">Coated pellets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Calcium channel blocker</w:t>
            </w:r>
          </w:p>
        </w:tc>
        <w:tc>
          <w:tcPr/>
          <w:p>
            <w:pPr>
              <w:pStyle w:val="Compact"/>
            </w:pPr>
            <w:r>
              <w:t xml:space="preserve">Procardia (nifedipine)</w:t>
            </w:r>
          </w:p>
        </w:tc>
        <w:tc>
          <w:tcPr/>
          <w:p>
            <w:pPr>
              <w:pStyle w:val="Compact"/>
            </w:pPr>
            <w:r>
              <w:t xml:space="preserve">Procardia XL</w:t>
            </w:r>
          </w:p>
        </w:tc>
        <w:tc>
          <w:tcPr/>
          <w:p>
            <w:pPr>
              <w:pStyle w:val="Compact"/>
            </w:pPr>
            <w:r>
              <w:t xml:space="preserve">Osmotic pump (OROS)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Calcium channel blocker</w:t>
            </w:r>
          </w:p>
        </w:tc>
        <w:tc>
          <w:tcPr/>
          <w:p>
            <w:pPr>
              <w:pStyle w:val="Compact"/>
            </w:pPr>
            <w:r>
              <w:t xml:space="preserve">Cardizem (diltiazem)</w:t>
            </w:r>
          </w:p>
        </w:tc>
        <w:tc>
          <w:tcPr/>
          <w:p>
            <w:pPr>
              <w:pStyle w:val="Compact"/>
            </w:pPr>
            <w:r>
              <w:t xml:space="preserve">Cardizem CD/LA</w:t>
            </w:r>
          </w:p>
        </w:tc>
        <w:tc>
          <w:tcPr/>
          <w:p>
            <w:pPr>
              <w:pStyle w:val="Compact"/>
            </w:pPr>
            <w:r>
              <w:t xml:space="preserve">Coated beads / HPMC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Calcium channel blocker</w:t>
            </w:r>
          </w:p>
        </w:tc>
        <w:tc>
          <w:tcPr/>
          <w:p>
            <w:pPr>
              <w:pStyle w:val="Compact"/>
            </w:pPr>
            <w:r>
              <w:t xml:space="preserve">Calan (verapamil)</w:t>
            </w:r>
          </w:p>
        </w:tc>
        <w:tc>
          <w:tcPr/>
          <w:p>
            <w:pPr>
              <w:pStyle w:val="Compact"/>
            </w:pPr>
            <w:r>
              <w:t xml:space="preserve">Calan SR, Verelan</w:t>
            </w:r>
          </w:p>
        </w:tc>
        <w:tc>
          <w:tcPr/>
          <w:p>
            <w:pPr>
              <w:pStyle w:val="Compact"/>
            </w:pPr>
            <w:r>
              <w:t xml:space="preserve">HPMC matrix / pellets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inhibitor</w:t>
            </w:r>
          </w:p>
        </w:tc>
        <w:tc>
          <w:tcPr/>
          <w:p>
            <w:pPr>
              <w:pStyle w:val="Compact"/>
            </w:pPr>
            <w:r>
              <w:t xml:space="preserve">Vasotec (enalapril)</w:t>
            </w:r>
          </w:p>
        </w:tc>
        <w:tc>
          <w:tcPr/>
          <w:p>
            <w:pPr>
              <w:pStyle w:val="Compact"/>
            </w:pPr>
            <w:r>
              <w:t xml:space="preserve">Various ER generics</w:t>
            </w:r>
          </w:p>
        </w:tc>
        <w:tc>
          <w:tcPr/>
          <w:p>
            <w:pPr>
              <w:pStyle w:val="Compact"/>
            </w:pPr>
            <w:r>
              <w:t xml:space="preserve">Matrix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Vasodilator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Loniten (minoxidil)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 ER formulation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Lipid matrix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Converting cardiovascular drugs from IR to ER is a well-established regulatory and commercial pathway. Our minoxidil ER follows this proven model.</w:t>
      </w:r>
    </w:p>
    <w:p>
      <w:r>
        <w:pict>
          <v:rect style="width:0;height:1.5pt" o:hralign="center" o:hrstd="t" o:hr="t"/>
        </w:pict>
      </w:r>
    </w:p>
    <w:bookmarkEnd w:id="20"/>
    <w:bookmarkStart w:id="23" w:name="manufacturing-technology-precedent"/>
    <w:p>
      <w:pPr>
        <w:pStyle w:val="Heading2"/>
      </w:pPr>
      <w:r>
        <w:t xml:space="preserve">5. Manufacturing Technology Precedent</w:t>
      </w:r>
    </w:p>
    <w:bookmarkStart w:id="21" w:name="melt-granulation-process"/>
    <w:p>
      <w:pPr>
        <w:pStyle w:val="Heading3"/>
      </w:pPr>
      <w:r>
        <w:t xml:space="preserve">5.1 Melt Granulation Process</w:t>
      </w:r>
    </w:p>
    <w:p>
      <w:pPr>
        <w:pStyle w:val="FirstParagraph"/>
      </w:pPr>
      <w:r>
        <w:t xml:space="preserve">The manufacturing process for our formulation (melt granulation) is a standard pharmaceutical unit operation: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Evidence of Precedent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maturity</w:t>
            </w:r>
          </w:p>
        </w:tc>
        <w:tc>
          <w:tcPr/>
          <w:p>
            <w:pPr>
              <w:pStyle w:val="Compact"/>
            </w:pPr>
            <w:r>
              <w:t xml:space="preserve">Used commercially since 1980s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availability</w:t>
            </w:r>
          </w:p>
        </w:tc>
        <w:tc>
          <w:tcPr/>
          <w:p>
            <w:pPr>
              <w:pStyle w:val="Compact"/>
            </w:pPr>
            <w:r>
              <w:t xml:space="preserve">Standard high-shear mixers, planetary mixers, extruders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Scale-up experience</w:t>
            </w:r>
          </w:p>
        </w:tc>
        <w:tc>
          <w:tcPr/>
          <w:p>
            <w:pPr>
              <w:pStyle w:val="Compact"/>
            </w:pPr>
            <w:r>
              <w:t xml:space="preserve">Well-documented from lab to commercial (kg to tons)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ICH guidelines</w:t>
            </w:r>
          </w:p>
        </w:tc>
        <w:tc>
          <w:tcPr/>
          <w:p>
            <w:pPr>
              <w:pStyle w:val="Compact"/>
            </w:pPr>
            <w:r>
              <w:t xml:space="preserve">Process fits within standard ICH Q8/Q9/Q10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Compounding feasibility</w:t>
            </w:r>
          </w:p>
        </w:tc>
        <w:tc>
          <w:tcPr/>
          <w:p>
            <w:pPr>
              <w:pStyle w:val="Compact"/>
            </w:pPr>
            <w:r>
              <w:t xml:space="preserve">Can be performed with basic heated mixing equipment</w:t>
            </w:r>
          </w:p>
        </w:tc>
      </w:tr>
    </w:tbl>
    <w:bookmarkEnd w:id="21"/>
    <w:bookmarkStart w:id="22" w:name="equipment-requirements"/>
    <w:p>
      <w:pPr>
        <w:pStyle w:val="Heading3"/>
      </w:pPr>
      <w:r>
        <w:t xml:space="preserve">5.2 Equipment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(10-100g)</w:t>
            </w:r>
          </w:p>
        </w:tc>
        <w:tc>
          <w:tcPr/>
          <w:p>
            <w:pPr>
              <w:pStyle w:val="Compact"/>
            </w:pPr>
            <w:r>
              <w:t xml:space="preserve">Heated mortar/beaker, hot plate</w:t>
            </w:r>
          </w:p>
        </w:tc>
        <w:tc>
          <w:tcP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(1-10 kg)</w:t>
            </w:r>
          </w:p>
        </w:tc>
        <w:tc>
          <w:tcPr/>
          <w:p>
            <w:pPr>
              <w:pStyle w:val="Compact"/>
            </w:pPr>
            <w:r>
              <w:t xml:space="preserve">Jacketed planetary mixer</w:t>
            </w:r>
          </w:p>
        </w:tc>
        <w:tc>
          <w:tcPr/>
          <w:p>
            <w:pPr>
              <w:pStyle w:val="Compact"/>
            </w:pPr>
            <w:r>
              <w:t xml:space="preserve">503B facilities, CDMOs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 (10-100+ kg)</w:t>
            </w:r>
          </w:p>
        </w:tc>
        <w:tc>
          <w:tcPr/>
          <w:p>
            <w:pPr>
              <w:pStyle w:val="Compact"/>
            </w:pPr>
            <w:r>
              <w:t xml:space="preserve">High-shear granulator with heating, twin-screw extruder</w:t>
            </w:r>
          </w:p>
        </w:tc>
        <w:tc>
          <w:tcPr/>
          <w:p>
            <w:pPr>
              <w:pStyle w:val="Compact"/>
            </w:pPr>
            <w:r>
              <w:t xml:space="preserve">Pharmaceutical manufacturers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safety-precedent"/>
    <w:p>
      <w:pPr>
        <w:pStyle w:val="Heading2"/>
      </w:pPr>
      <w:r>
        <w:t xml:space="preserve">6. Safety Precedent</w:t>
      </w:r>
    </w:p>
    <w:bookmarkStart w:id="24" w:name="excipient-safety"/>
    <w:p>
      <w:pPr>
        <w:pStyle w:val="Heading3"/>
      </w:pPr>
      <w:r>
        <w:t xml:space="preserve">6.1 Excipient Safety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Excipient</w:t>
            </w:r>
          </w:p>
        </w:tc>
        <w:tc>
          <w:tcPr/>
          <w:p>
            <w:pPr>
              <w:pStyle w:val="Compact"/>
            </w:pPr>
            <w:r>
              <w:t xml:space="preserve">Oral LD50 (rat)</w:t>
            </w:r>
          </w:p>
        </w:tc>
        <w:tc>
          <w:tcPr/>
          <w:p>
            <w:pPr>
              <w:pStyle w:val="Compact"/>
            </w:pPr>
            <w:r>
              <w:t xml:space="preserve">Safety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Compritol 888 ATO</w:t>
            </w:r>
          </w:p>
        </w:tc>
        <w:tc>
          <w:tcPr/>
          <w:p>
            <w:pPr>
              <w:pStyle w:val="Compact"/>
            </w:pPr>
            <w:r>
              <w:t xml:space="preserve">&gt;5000 mg/kg</w:t>
            </w:r>
          </w:p>
        </w:tc>
        <w:tc>
          <w:tcPr/>
          <w:p>
            <w:pPr>
              <w:pStyle w:val="Compact"/>
            </w:pPr>
            <w:r>
              <w:t xml:space="preserve">Non-toxic; GRAS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Precirol ATO 5</w:t>
            </w:r>
          </w:p>
        </w:tc>
        <w:tc>
          <w:tcPr/>
          <w:p>
            <w:pPr>
              <w:pStyle w:val="Compact"/>
            </w:pPr>
            <w:r>
              <w:t xml:space="preserve">&gt;5000 mg/kg</w:t>
            </w:r>
          </w:p>
        </w:tc>
        <w:tc>
          <w:tcPr/>
          <w:p>
            <w:pPr>
              <w:pStyle w:val="Compact"/>
            </w:pPr>
            <w:r>
              <w:t xml:space="preserve">Non-toxic; GRAS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 6000</w:t>
            </w:r>
          </w:p>
        </w:tc>
        <w:tc>
          <w:tcPr/>
          <w:p>
            <w:pPr>
              <w:pStyle w:val="Compact"/>
            </w:pPr>
            <w:r>
              <w:t xml:space="preserve">&gt;10000 mg/kg</w:t>
            </w:r>
          </w:p>
        </w:tc>
        <w:tc>
          <w:tcPr/>
          <w:p>
            <w:pPr>
              <w:pStyle w:val="Compact"/>
            </w:pPr>
            <w:r>
              <w:t xml:space="preserve">Non-toxic; extensive use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Poloxamer 188</w:t>
            </w:r>
          </w:p>
        </w:tc>
        <w:tc>
          <w:tcPr/>
          <w:p>
            <w:pPr>
              <w:pStyle w:val="Compact"/>
            </w:pPr>
            <w:r>
              <w:t xml:space="preserve">&gt;5000 mg/kg</w:t>
            </w:r>
          </w:p>
        </w:tc>
        <w:tc>
          <w:tcPr/>
          <w:p>
            <w:pPr>
              <w:pStyle w:val="Compact"/>
            </w:pPr>
            <w:r>
              <w:t xml:space="preserve">Non-toxic; FDA approved for IV use</w:t>
            </w:r>
          </w:p>
        </w:tc>
      </w:tr>
    </w:tbl>
    <w:bookmarkEnd w:id="24"/>
    <w:bookmarkStart w:id="25" w:name="active-ingredient-safety"/>
    <w:p>
      <w:pPr>
        <w:pStyle w:val="Heading3"/>
      </w:pPr>
      <w:r>
        <w:t xml:space="preserve">6.2 Active Ingredient Safety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</w:t>
            </w:r>
          </w:p>
        </w:tc>
        <w:tc>
          <w:tcPr/>
          <w:p>
            <w:pPr>
              <w:pStyle w:val="Compact"/>
            </w:pPr>
            <w:r>
              <w:t xml:space="preserve">Minoxidil USP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FDA Approval</w:t>
            </w:r>
          </w:p>
        </w:tc>
        <w:tc>
          <w:tcPr/>
          <w:p>
            <w:pPr>
              <w:pStyle w:val="Compact"/>
            </w:pPr>
            <w:r>
              <w:t xml:space="preserve">1979 (Loniten for hypertension)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Years on Market</w:t>
            </w:r>
          </w:p>
        </w:tc>
        <w:tc>
          <w:tcPr/>
          <w:p>
            <w:pPr>
              <w:pStyle w:val="Compact"/>
            </w:pPr>
            <w:r>
              <w:t xml:space="preserve">45+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Profile</w:t>
            </w:r>
          </w:p>
        </w:tc>
        <w:tc>
          <w:tcPr/>
          <w:p>
            <w:pPr>
              <w:pStyle w:val="Compact"/>
            </w:pPr>
            <w:r>
              <w:t xml:space="preserve">Well-characterized; manageable side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Off-Label Use</w:t>
            </w:r>
          </w:p>
        </w:tc>
        <w:tc>
          <w:tcPr/>
          <w:p>
            <w:pPr>
              <w:pStyle w:val="Compact"/>
            </w:pPr>
            <w:r>
              <w:t xml:space="preserve">Widely prescribed for hair loss at low doses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Our Dose</w:t>
            </w:r>
          </w:p>
        </w:tc>
        <w:tc>
          <w:tcPr/>
          <w:p>
            <w:pPr>
              <w:pStyle w:val="Compact"/>
            </w:pPr>
            <w:r>
              <w:t xml:space="preserve">8.5 mg BID (17 mg/day) - within established range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gattefossé-technical-support"/>
    <w:p>
      <w:pPr>
        <w:pStyle w:val="Heading2"/>
      </w:pPr>
      <w:r>
        <w:t xml:space="preserve">7. Gattefossé Technical Support</w:t>
      </w:r>
    </w:p>
    <w:p>
      <w:pPr>
        <w:pStyle w:val="FirstParagraph"/>
      </w:pPr>
      <w:r>
        <w:t xml:space="preserve">Gattefossé, the manufacturer of Compritol and Precirol, provides extensive technical support for formulators: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documentation</w:t>
            </w:r>
          </w:p>
        </w:tc>
        <w:tc>
          <w:tcPr/>
          <w:p>
            <w:pPr>
              <w:pStyle w:val="Compact"/>
            </w:pPr>
            <w:r>
              <w:t xml:space="preserve">Complete excipient specifications, stability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notes</w:t>
            </w:r>
          </w:p>
        </w:tc>
        <w:tc>
          <w:tcPr/>
          <w:p>
            <w:pPr>
              <w:pStyle w:val="Compact"/>
            </w:pPr>
            <w:r>
              <w:t xml:space="preserve">Formulation guidelines for sustained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support</w:t>
            </w:r>
          </w:p>
        </w:tc>
        <w:tc>
          <w:tcPr/>
          <w:p>
            <w:pPr>
              <w:pStyle w:val="Compact"/>
            </w:pPr>
            <w:r>
              <w:t xml:space="preserve">DMF (Drug Master File) available for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Formulation services</w:t>
            </w:r>
          </w:p>
        </w:tc>
        <w:tc>
          <w:tcPr/>
          <w:p>
            <w:pPr>
              <w:pStyle w:val="Compact"/>
            </w:pPr>
            <w:r>
              <w:t xml:space="preserve">Technical assistance for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availability</w:t>
            </w:r>
          </w:p>
        </w:tc>
        <w:tc>
          <w:tcPr/>
          <w:p>
            <w:pPr>
              <w:pStyle w:val="Compact"/>
            </w:pPr>
            <w:r>
              <w:t xml:space="preserve">Development quantities readily available</w:t>
            </w:r>
          </w:p>
        </w:tc>
      </w:tr>
    </w:tbl>
    <w:p>
      <w:pPr>
        <w:pStyle w:val="BodyText"/>
      </w:pPr>
      <w:r>
        <w:t xml:space="preserve">Contact: Gattefossé USA, Paramus, NJ - www.gattefosse.com</w:t>
      </w:r>
    </w:p>
    <w:p>
      <w:r>
        <w:pict>
          <v:rect style="width:0;height:1.5pt" o:hralign="center" o:hrstd="t" o:hr="t"/>
        </w:pict>
      </w:r>
    </w:p>
    <w:bookmarkEnd w:id="27"/>
    <w:bookmarkStart w:id="28" w:name="risk-assessment-summary"/>
    <w:p>
      <w:pPr>
        <w:pStyle w:val="Heading2"/>
      </w:pPr>
      <w:r>
        <w:t xml:space="preserve">8. Risk Assessment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Category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risk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30+ years of commercial use; FDA-approved products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Excipient risk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Compendial status; GRAS; extensive safety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Manufacturing risk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Standard melt granulation; widely available 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risk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All excipients in FDA IIG; drug approved since 1979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Scale-up risk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MEDIUM-LOW</w:t>
            </w:r>
          </w:p>
        </w:tc>
        <w:tc>
          <w:tcPr/>
          <w:p>
            <w:pPr>
              <w:pStyle w:val="Compact"/>
            </w:pPr>
            <w:r>
              <w:t xml:space="preserve">Requires process optimization but well-documented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Stability risk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Lipid polymorphism manageable with annealing step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0" w:name="conclusion"/>
    <w:p>
      <w:pPr>
        <w:pStyle w:val="Heading2"/>
      </w:pPr>
      <w:r>
        <w:t xml:space="preserve">9. Conclusion</w:t>
      </w:r>
    </w:p>
    <w:bookmarkStart w:id="29" w:name="key-takeaways"/>
    <w:p>
      <w:pPr>
        <w:pStyle w:val="Heading3"/>
      </w:pPr>
      <w:r>
        <w:t xml:space="preserve">Key Takeaways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Proven Technology:</w:t>
      </w:r>
      <w:r>
        <w:t xml:space="preserve"> </w:t>
      </w:r>
      <w:r>
        <w:t xml:space="preserve">Lipid matrix extended-release is a mature pharmaceutical platform with FDA-approved products (Kaletra) and 30+ years of commercial use.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Established Excipients:</w:t>
      </w:r>
      <w:r>
        <w:t xml:space="preserve"> </w:t>
      </w:r>
      <w:r>
        <w:t xml:space="preserve">Compritol 888 ATO and Precirol ATO 5 are compendial (USP-NF), GRAS-listed, and widely used in approved pharmaceutical products.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Published Precedent:</w:t>
      </w:r>
      <w:r>
        <w:t xml:space="preserve"> </w:t>
      </w:r>
      <w:r>
        <w:t xml:space="preserve">Extensive peer-reviewed literature supports the use of these exact excipients for sustained-release oral formulations.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Cardiovascular Precedent:</w:t>
      </w:r>
      <w:r>
        <w:t xml:space="preserve"> </w:t>
      </w:r>
      <w:r>
        <w:t xml:space="preserve">Multiple cardiovascular drugs have been successfully converted from IR to ER formulations.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Low Technical Risk:</w:t>
      </w:r>
      <w:r>
        <w:t xml:space="preserve"> </w:t>
      </w:r>
      <w:r>
        <w:t xml:space="preserve">The proposed formulation uses established technology, approved excipients, and standard manufacturing processes.</w:t>
      </w:r>
    </w:p>
    <w:p>
      <w:pPr>
        <w:pStyle w:val="FirstParagraph"/>
      </w:pPr>
      <w:r>
        <w:rPr>
          <w:b/>
          <w:bCs/>
        </w:rPr>
        <w:t xml:space="preserve">This formulation represents an application of proven technology, not experimental science.</w:t>
      </w:r>
    </w:p>
    <w:bookmarkEnd w:id="29"/>
    <w:p>
      <w:r>
        <w:pict>
          <v:rect style="width:0;height:1.5pt" o:hralign="center" o:hrstd="t" o:hr="t"/>
        </w:pict>
      </w:r>
    </w:p>
    <w:bookmarkEnd w:id="30"/>
    <w:bookmarkStart w:id="31" w:name="references"/>
    <w:p>
      <w:pPr>
        <w:pStyle w:val="Heading2"/>
      </w:pPr>
      <w:r>
        <w:t xml:space="preserve">10. References</w:t>
      </w:r>
    </w:p>
    <w:p>
      <w:pPr>
        <w:pStyle w:val="Compact"/>
        <w:numPr>
          <w:ilvl w:val="0"/>
          <w:numId w:val="1004"/>
        </w:numPr>
      </w:pPr>
      <w:r>
        <w:t xml:space="preserve">FDA. NDA 021906 Approval Letter - Kaletra Tablets. 2005.</w:t>
      </w:r>
    </w:p>
    <w:p>
      <w:pPr>
        <w:pStyle w:val="Compact"/>
        <w:numPr>
          <w:ilvl w:val="0"/>
          <w:numId w:val="1004"/>
        </w:numPr>
      </w:pPr>
      <w:r>
        <w:t xml:space="preserve">Breitenbach J. Melt extrusion: from process to drug delivery technology. Eur J Pharm Biopharm. 2002;54(2):107-117.</w:t>
      </w:r>
    </w:p>
    <w:p>
      <w:pPr>
        <w:pStyle w:val="Compact"/>
        <w:numPr>
          <w:ilvl w:val="0"/>
          <w:numId w:val="1004"/>
        </w:numPr>
      </w:pPr>
      <w:r>
        <w:t xml:space="preserve">Hamdani J, Moës AJ, Amighi K. Physical and thermal characterisation of Precirol and Compritol as lipophilic glycerides. Int J Pharm. 2003;260(1):47-57.</w:t>
      </w:r>
    </w:p>
    <w:p>
      <w:pPr>
        <w:pStyle w:val="Compact"/>
        <w:numPr>
          <w:ilvl w:val="0"/>
          <w:numId w:val="1004"/>
        </w:numPr>
      </w:pPr>
      <w:r>
        <w:t xml:space="preserve">Sutananta W, Craig DQ, Newton JM. An investigation into the effects of preparation conditions on the structure and properties of Compritol 888 ATO. Int J Pharm. 1995;126(1-2):147-158.</w:t>
      </w:r>
    </w:p>
    <w:p>
      <w:pPr>
        <w:pStyle w:val="Compact"/>
        <w:numPr>
          <w:ilvl w:val="0"/>
          <w:numId w:val="1004"/>
        </w:numPr>
      </w:pPr>
      <w:r>
        <w:t xml:space="preserve">Jannin V, Musakhanian J, Marchaud D. Approaches for the development of solid and semi-solid lipid-based formulations. Adv Drug Deliv Rev. 2008;60(6):734-746.</w:t>
      </w:r>
    </w:p>
    <w:p>
      <w:pPr>
        <w:pStyle w:val="Compact"/>
        <w:numPr>
          <w:ilvl w:val="0"/>
          <w:numId w:val="1004"/>
        </w:numPr>
      </w:pPr>
      <w:r>
        <w:t xml:space="preserve">Zhang YE, Schwartz JB. Melt granulation and heat treatment for wax matrix-controlled drug release. Drug Dev Ind Pharm. 2003;29(2):131-138.</w:t>
      </w:r>
    </w:p>
    <w:p>
      <w:pPr>
        <w:pStyle w:val="Compact"/>
        <w:numPr>
          <w:ilvl w:val="0"/>
          <w:numId w:val="1004"/>
        </w:numPr>
      </w:pPr>
      <w:r>
        <w:t xml:space="preserve">Gattefossé. Compritol 888 ATO Technical Documentation. 2023.</w:t>
      </w:r>
    </w:p>
    <w:p>
      <w:pPr>
        <w:pStyle w:val="Compact"/>
        <w:numPr>
          <w:ilvl w:val="0"/>
          <w:numId w:val="1004"/>
        </w:numPr>
      </w:pPr>
      <w:r>
        <w:t xml:space="preserve">Gattefossé. Precirol ATO 5 Technical Documentation. 2023.</w:t>
      </w:r>
    </w:p>
    <w:p>
      <w:pPr>
        <w:pStyle w:val="Compact"/>
        <w:numPr>
          <w:ilvl w:val="0"/>
          <w:numId w:val="1004"/>
        </w:numPr>
      </w:pPr>
      <w:r>
        <w:t xml:space="preserve">FDA Inactive Ingredient Database. Accessed February 2026.</w:t>
      </w:r>
    </w:p>
    <w:p>
      <w:pPr>
        <w:pStyle w:val="Compact"/>
        <w:numPr>
          <w:ilvl w:val="0"/>
          <w:numId w:val="1004"/>
        </w:numPr>
      </w:pPr>
      <w:r>
        <w:t xml:space="preserve">USP-NF. Glyceryl Behenate Monograph. Current edition.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prepared: February 5, 2026</w:t>
      </w:r>
    </w:p>
    <w:p>
      <w:pPr>
        <w:pStyle w:val="BodyText"/>
      </w:pPr>
      <w:r>
        <w:rPr>
          <w:i/>
          <w:iCs/>
        </w:rPr>
        <w:t xml:space="preserve">This report is for informational purposes to support formulation development discussions.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Precedent Report: Lipid Matrix Extended-Release Formulations</dc:title>
  <dc:creator/>
  <dc:language>en</dc:language>
  <cp:keywords/>
  <dcterms:created xsi:type="dcterms:W3CDTF">2026-02-05T12:38:17Z</dcterms:created>
  <dcterms:modified xsi:type="dcterms:W3CDTF">2026-02-05T12:38:17Z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