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Counter-Arguments Brief - Veradermics Patent Challenge</w:t>
      </w:r>
    </w:p>
    <w:bookmarkStart w:id="64" w:name="master-counter-arguments-brief"/>
    <w:p>
      <w:pPr>
        <w:pStyle w:val="Heading1"/>
      </w:pPr>
      <w:r>
        <w:t xml:space="preserve">MASTER COUNTER-ARGUMENTS BRIEF</w:t>
      </w:r>
    </w:p>
    <w:p>
      <w:pPr>
        <w:pStyle w:val="FirstParagraph"/>
      </w:pPr>
      <w:r>
        <w:t xml:space="preserve">Challenging Veradermics Patent US12268688B2</w:t>
      </w:r>
    </w:p>
    <w:p>
      <w:pPr>
        <w:pStyle w:val="BodyText"/>
      </w:pPr>
      <w:r>
        <w:t xml:space="preserve">Date: February 5, 2026</w:t>
      </w:r>
    </w:p>
    <w:bookmarkStart w:id="9" w:name="executive-summary"/>
    <w:p>
      <w:pPr>
        <w:pStyle w:val="Heading2"/>
      </w:pPr>
      <w:r>
        <w:t xml:space="preserve">Executive Summary</w:t>
      </w:r>
    </w:p>
    <w:p>
      <w:pPr>
        <w:pStyle w:val="FirstParagraph"/>
      </w:pPr>
      <w:r>
        <w:t xml:space="preserve">This document compiles comprehensive counter-arguments to every major defense Veradermics could raise for their extended-release minoxidil patent. Each counter-argument is supported by Federal Circuit case law and prior art evidence.</w:t>
      </w:r>
    </w:p>
    <w:p>
      <w:pPr>
        <w:pStyle w:val="BodyText"/>
      </w:pPr>
      <w:r>
        <w:rPr>
          <w:b/>
          <w:bCs/>
        </w:rPr>
        <w:t xml:space="preserve">Bottom Line:</w:t>
      </w:r>
      <w:r>
        <w:t xml:space="preserve"> </w:t>
      </w:r>
      <w:r>
        <w:t xml:space="preserve">Veradermics' patent is vulnerable on multiple independent grounds. Our strongest arguments are obviousness (lead with this), followed by inherent anticipation. The doctrine of equivalents risk for lipid matrix is manageable with proper technical differentiation.</w:t>
      </w:r>
    </w:p>
    <w:bookmarkEnd w:id="9"/>
    <w:bookmarkStart w:id="10" w:name="table-of-contents"/>
    <w:p>
      <w:pPr>
        <w:pStyle w:val="Heading3"/>
      </w:pPr>
      <w:r>
        <w:t xml:space="preserve">Table of Contents</w:t>
      </w:r>
    </w:p>
    <w:p>
      <w:pPr>
        <w:pStyle w:val="Compact"/>
        <w:numPr>
          <w:ilvl w:val="0"/>
          <w:numId w:val="1001"/>
        </w:numPr>
      </w:pPr>
      <w:hyperlink w:anchor="arg1">
        <w:r>
          <w:rPr>
            <w:rStyle w:val="Hyperlink"/>
          </w:rPr>
          <w:t xml:space="preserve">Counter: "Modified Release Excludes IR"</w:t>
        </w:r>
      </w:hyperlink>
    </w:p>
    <w:p>
      <w:pPr>
        <w:pStyle w:val="Compact"/>
        <w:numPr>
          <w:ilvl w:val="0"/>
          <w:numId w:val="1001"/>
        </w:numPr>
      </w:pPr>
      <w:hyperlink w:anchor="arg2">
        <w:r>
          <w:rPr>
            <w:rStyle w:val="Hyperlink"/>
          </w:rPr>
          <w:t xml:space="preserve">Counter: "No Reasonable Expectation of Success"</w:t>
        </w:r>
      </w:hyperlink>
    </w:p>
    <w:p>
      <w:pPr>
        <w:pStyle w:val="Compact"/>
        <w:numPr>
          <w:ilvl w:val="0"/>
          <w:numId w:val="1001"/>
        </w:numPr>
      </w:pPr>
      <w:hyperlink w:anchor="arg3">
        <w:r>
          <w:rPr>
            <w:rStyle w:val="Hyperlink"/>
          </w:rPr>
          <w:t xml:space="preserve">Counter: "Prior Art Taught Away"</w:t>
        </w:r>
      </w:hyperlink>
    </w:p>
    <w:p>
      <w:pPr>
        <w:pStyle w:val="Compact"/>
        <w:numPr>
          <w:ilvl w:val="0"/>
          <w:numId w:val="1001"/>
        </w:numPr>
      </w:pPr>
      <w:hyperlink w:anchor="arg4">
        <w:r>
          <w:rPr>
            <w:rStyle w:val="Hyperlink"/>
          </w:rPr>
          <w:t xml:space="preserve">Counter: "Secondary Considerations"</w:t>
        </w:r>
      </w:hyperlink>
    </w:p>
    <w:p>
      <w:pPr>
        <w:pStyle w:val="Compact"/>
        <w:numPr>
          <w:ilvl w:val="0"/>
          <w:numId w:val="1001"/>
        </w:numPr>
      </w:pPr>
      <w:hyperlink w:anchor="arg5">
        <w:r>
          <w:rPr>
            <w:rStyle w:val="Hyperlink"/>
          </w:rPr>
          <w:t xml:space="preserve">Counter: "Doctrine of Equivalents"</w:t>
        </w:r>
      </w:hyperlink>
    </w:p>
    <w:p>
      <w:pPr>
        <w:pStyle w:val="Compact"/>
        <w:numPr>
          <w:ilvl w:val="0"/>
          <w:numId w:val="1001"/>
        </w:numPr>
      </w:pPr>
      <w:hyperlink w:anchor="arg6">
        <w:r>
          <w:rPr>
            <w:rStyle w:val="Hyperlink"/>
          </w:rPr>
          <w:t xml:space="preserve">Counter: "Unexpected Results"</w:t>
        </w:r>
      </w:hyperlink>
    </w:p>
    <w:p>
      <w:pPr>
        <w:pStyle w:val="Compact"/>
        <w:numPr>
          <w:ilvl w:val="0"/>
          <w:numId w:val="1001"/>
        </w:numPr>
      </w:pPr>
      <w:hyperlink w:anchor="arg7">
        <w:r>
          <w:rPr>
            <w:rStyle w:val="Hyperlink"/>
          </w:rPr>
          <w:t xml:space="preserve">Counter: "KSR Obvious-to-Try Doesn't Apply"</w:t>
        </w:r>
      </w:hyperlink>
    </w:p>
    <w:bookmarkEnd w:id="10"/>
    <w:p>
      <w:r>
        <w:pict>
          <v:rect style="width:0;height:1.5pt" o:hralign="center" o:hrstd="t" o:hr="t"/>
        </w:pict>
      </w:r>
    </w:p>
    <w:bookmarkStart w:id="17" w:name="arg1"/>
    <w:p>
      <w:pPr>
        <w:pStyle w:val="Heading2"/>
      </w:pPr>
      <w:r>
        <w:t xml:space="preserve">1. Counter: "Modified Release Excludes IR - Claims Not Anticipated"</w:t>
      </w:r>
    </w:p>
    <w:p>
      <w:pPr>
        <w:pStyle w:val="FirstParagraph"/>
      </w:pPr>
      <w:r>
        <w:t xml:space="preserve">STRONG COUNTER</w:t>
      </w:r>
    </w:p>
    <w:p>
      <w:pPr>
        <w:pStyle w:val="BodyText"/>
      </w:pPr>
      <w:r>
        <w:rPr>
          <w:b/>
          <w:bCs/>
        </w:rPr>
        <w:t xml:space="preserve">Veradermics argues:</w:t>
      </w:r>
      <w:r>
        <w:t xml:space="preserve"> </w:t>
      </w:r>
      <w:r>
        <w:t xml:space="preserve">"The claims require 'modified release pharmaceutical formulation' - IR minoxidil doesn't qualify, so prior art IR studies (Fleishaker 1989) don't anticipate our claims."</w:t>
      </w:r>
    </w:p>
    <w:bookmarkStart w:id="11" w:name="X2c16ae88912fdc62618b0ef76f37bd24f0d6316"/>
    <w:p>
      <w:pPr>
        <w:pStyle w:val="Heading4"/>
      </w:pPr>
      <w:r>
        <w:t xml:space="preserve">Our Response: Five Independent Counter-Arguments</w:t>
      </w:r>
    </w:p>
    <w:bookmarkEnd w:id="11"/>
    <w:bookmarkStart w:id="12" w:name="Xb25cb7557533bb98058265027d50834fccd3730"/>
    <w:p>
      <w:pPr>
        <w:pStyle w:val="Heading4"/>
      </w:pPr>
      <w:r>
        <w:t xml:space="preserve">A. Inherency Doctrine Defeats This Defense</w:t>
      </w:r>
    </w:p>
    <w:p>
      <w:pPr>
        <w:pStyle w:val="FirstParagraph"/>
      </w:pPr>
      <w:r>
        <w:t xml:space="preserve">IR minoxidil</w:t>
      </w:r>
      <w:r>
        <w:t xml:space="preserve"> </w:t>
      </w:r>
      <w:r>
        <w:rPr>
          <w:b/>
          <w:bCs/>
        </w:rPr>
        <w:t xml:space="preserve">inherently achieves</w:t>
      </w:r>
      <w:r>
        <w:t xml:space="preserve"> </w:t>
      </w:r>
      <w:r>
        <w:t xml:space="preserve">the claimed PK parameters:</w:t>
      </w:r>
    </w:p>
    <w:p>
      <w:pPr>
        <w:pStyle w:val="Compact"/>
        <w:numPr>
          <w:ilvl w:val="0"/>
          <w:numId w:val="1002"/>
        </w:numPr>
      </w:pPr>
      <w:r>
        <w:t xml:space="preserve">IR 2.5mg Cmax: 16.8 ng/mL (within claimed 0.25-20 ng/mL)</w:t>
      </w:r>
    </w:p>
    <w:p>
      <w:pPr>
        <w:pStyle w:val="Compact"/>
        <w:numPr>
          <w:ilvl w:val="0"/>
          <w:numId w:val="1002"/>
        </w:numPr>
      </w:pPr>
      <w:r>
        <w:t xml:space="preserve">IR Tmax: 60 minutes (within claimed 30-360 minutes)</w:t>
      </w:r>
    </w:p>
    <w:p>
      <w:pPr>
        <w:pStyle w:val="FirstParagraph"/>
      </w:pPr>
      <w:r>
        <w:t xml:space="preserve">Under</w:t>
      </w:r>
      <w:r>
        <w:t xml:space="preserve"> </w:t>
      </w:r>
      <w:r>
        <w:t xml:space="preserve">Schering Corp. v. Geneva Pharmaceuticals</w:t>
      </w:r>
      <w:r>
        <w:t xml:space="preserve">, 339 F.3d 1373 (Fed. Cir. 2003): "Anticipation cannot be avoided merely because an element is undisclosed and unrecognized in the reference, but is a deliberate or necessary consequence of the reference's disclosure."</w:t>
      </w:r>
    </w:p>
    <w:bookmarkEnd w:id="12"/>
    <w:bookmarkStart w:id="13" w:name="Xc89c949cb7a75649e1966fc7343b42c7dd8307a"/>
    <w:p>
      <w:pPr>
        <w:pStyle w:val="Heading4"/>
      </w:pPr>
      <w:r>
        <w:t xml:space="preserve">B. The TRUE Claim Limitations Are the PK Parameters</w:t>
      </w:r>
    </w:p>
    <w:p>
      <w:pPr>
        <w:pStyle w:val="FirstParagraph"/>
      </w:pPr>
      <w:r>
        <w:t xml:space="preserve">The claims define the invention by</w:t>
      </w:r>
      <w:r>
        <w:t xml:space="preserve"> </w:t>
      </w:r>
      <w:r>
        <w:rPr>
          <w:b/>
          <w:bCs/>
        </w:rPr>
        <w:t xml:space="preserve">functional outcomes</w:t>
      </w:r>
      <w:r>
        <w:t xml:space="preserve"> </w:t>
      </w:r>
      <w:r>
        <w:t xml:space="preserve">(Cmax, Tmax ranges), not structural requirements. The term "modified release" is merely a label - the operative limitations are the PK parameters that IR minoxidil already achieves.</w:t>
      </w:r>
    </w:p>
    <w:bookmarkEnd w:id="13"/>
    <w:bookmarkStart w:id="14" w:name="X7682162cedb73c678816c82516e6cff69902f3f"/>
    <w:p>
      <w:pPr>
        <w:pStyle w:val="Heading4"/>
      </w:pPr>
      <w:r>
        <w:t xml:space="preserve">C. Any Oral Tablet "Modifies" Release vs. IV</w:t>
      </w:r>
    </w:p>
    <w:p>
      <w:pPr>
        <w:pStyle w:val="FirstParagraph"/>
      </w:pPr>
      <w:r>
        <w:t xml:space="preserve">Compared to intravenous administration (Tmax = 0), ANY oral formulation "modifies" release. Standard IR tablets with binders, fillers, and disintegrants technically modify how drug is released.</w:t>
      </w:r>
    </w:p>
    <w:bookmarkEnd w:id="14"/>
    <w:bookmarkStart w:id="15" w:name="X48efa1edc40ee9338bcdee2553074497e36f681"/>
    <w:p>
      <w:pPr>
        <w:pStyle w:val="Heading4"/>
      </w:pPr>
      <w:r>
        <w:t xml:space="preserve">D. Specification Doesn't Limit "Modified Release" Narrowly</w:t>
      </w:r>
    </w:p>
    <w:p>
      <w:pPr>
        <w:pStyle w:val="FirstParagraph"/>
      </w:pPr>
      <w:r>
        <w:t xml:space="preserve">The specification lists multiple technologies without limitation (osmotic pumps, microencapsulation, enteric coatings, matrix systems). Under BRI, "modified release" encompasses any formulation modifying release.</w:t>
      </w:r>
    </w:p>
    <w:bookmarkEnd w:id="15"/>
    <w:bookmarkStart w:id="16" w:name="X20599cc201a818edf5316046231b0df13f290cd"/>
    <w:p>
      <w:pPr>
        <w:pStyle w:val="Heading4"/>
      </w:pPr>
      <w:r>
        <w:t xml:space="preserve">E. Even If Limited to ER, Claims Are OBVIOUS</w:t>
      </w:r>
    </w:p>
    <w:p>
      <w:pPr>
        <w:pStyle w:val="FirstParagraph"/>
      </w:pPr>
      <w:r>
        <w:t xml:space="preserve">This is the "Claim Scope Dilemma" - if Veradermics argues narrow construction (ER only), the claims become obvious under Ground 2 of our IPR.</w:t>
      </w:r>
    </w:p>
    <w:bookmarkEnd w:id="16"/>
    <w:p>
      <w:pPr>
        <w:pStyle w:val="BodyText"/>
      </w:pPr>
      <w:r>
        <w:rPr>
          <w:b/>
          <w:bCs/>
        </w:rPr>
        <w:t xml:space="preserve">Key Cases:</w:t>
      </w:r>
    </w:p>
    <w:p>
      <w:pPr>
        <w:pStyle w:val="Compact"/>
        <w:numPr>
          <w:ilvl w:val="0"/>
          <w:numId w:val="1003"/>
        </w:numPr>
      </w:pPr>
      <w:r>
        <w:t xml:space="preserve">King Pharmaceuticals v. Eon Labs</w:t>
      </w:r>
      <w:r>
        <w:t xml:space="preserve">, 616 F.3d 1267 (Fed. Cir. 2010) - Inherent anticipation of method claims</w:t>
      </w:r>
    </w:p>
    <w:p>
      <w:pPr>
        <w:pStyle w:val="Compact"/>
        <w:numPr>
          <w:ilvl w:val="0"/>
          <w:numId w:val="1003"/>
        </w:numPr>
      </w:pPr>
      <w:r>
        <w:t xml:space="preserve">Atlas Powder Co. v. IRECO</w:t>
      </w:r>
      <w:r>
        <w:t xml:space="preserve">, 190 F.3d 1342 (Fed. Cir. 1999) - Discovery of unappreciated property doesn't create novelty</w:t>
      </w:r>
    </w:p>
    <w:p>
      <w:pPr>
        <w:pStyle w:val="Compact"/>
        <w:numPr>
          <w:ilvl w:val="0"/>
          <w:numId w:val="1003"/>
        </w:numPr>
      </w:pPr>
      <w:r>
        <w:t xml:space="preserve">Phillips v. AWH Corp.</w:t>
      </w:r>
      <w:r>
        <w:t xml:space="preserve">, 415 F.3d 1303 (Fed. Cir. 2005) - Claims construed by actual requirements, not labels</w:t>
      </w:r>
    </w:p>
    <w:p>
      <w:r>
        <w:pict>
          <v:rect style="width:0;height:1.5pt" o:hralign="center" o:hrstd="t" o:hr="t"/>
        </w:pict>
      </w:r>
    </w:p>
    <w:bookmarkEnd w:id="17"/>
    <w:bookmarkStart w:id="24" w:name="arg2"/>
    <w:p>
      <w:pPr>
        <w:pStyle w:val="Heading2"/>
      </w:pPr>
      <w:r>
        <w:t xml:space="preserve">2. Counter: "No Reasonable Expectation of Success"</w:t>
      </w:r>
    </w:p>
    <w:p>
      <w:pPr>
        <w:pStyle w:val="FirstParagraph"/>
      </w:pPr>
      <w:r>
        <w:t xml:space="preserve">STRONG COUNTER</w:t>
      </w:r>
    </w:p>
    <w:p>
      <w:pPr>
        <w:pStyle w:val="BodyText"/>
      </w:pPr>
      <w:r>
        <w:rPr>
          <w:b/>
          <w:bCs/>
        </w:rPr>
        <w:t xml:space="preserve">Veradermics argues:</w:t>
      </w:r>
      <w:r>
        <w:t xml:space="preserve"> </w:t>
      </w:r>
      <w:r>
        <w:t xml:space="preserve">"A POSA had no reasonable expectation of success that ER minoxidil would achieve a therapeutic window between the hair growth threshold (1.62 ng/mL) and cardiac threshold (20 ng/mL)."</w:t>
      </w:r>
    </w:p>
    <w:bookmarkStart w:id="18" w:name="Xfb0fbcbbdfb2f5c7aaadc0256e112c761850f40"/>
    <w:p>
      <w:pPr>
        <w:pStyle w:val="Heading4"/>
      </w:pPr>
      <w:r>
        <w:t xml:space="preserve">Our Response: Clinical Evidence PROVED Success Before Priority Date</w:t>
      </w:r>
    </w:p>
    <w:bookmarkEnd w:id="18"/>
    <w:bookmarkStart w:id="19" w:name="X6fd805e1741fb68e44e1d15c00f54125560d9f6"/>
    <w:p>
      <w:pPr>
        <w:pStyle w:val="Heading4"/>
      </w:pPr>
      <w:r>
        <w:t xml:space="preserve">A. 1,404+ Patients Already Successfully Treated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Date</w:t>
            </w:r>
          </w:p>
        </w:tc>
        <w:tc>
          <w:tcPr/>
          <w:p>
            <w:pPr>
              <w:pStyle w:val="Compact"/>
            </w:pPr>
            <w:r>
              <w:t xml:space="preserve">Patients</w:t>
            </w:r>
          </w:p>
        </w:tc>
        <w:tc>
          <w:tcPr/>
          <w:p>
            <w:pPr>
              <w:pStyle w:val="Compact"/>
            </w:pPr>
            <w:r>
              <w:t xml:space="preserve">Finding</w:t>
            </w:r>
          </w:p>
        </w:tc>
      </w:tr>
      <w:tr>
        <w:tc>
          <w:tcPr/>
          <w:p>
            <w:pPr>
              <w:pStyle w:val="Compact"/>
            </w:pPr>
            <w:r>
              <w:t xml:space="preserve">Vano-Galvan (JAAD)</w:t>
            </w:r>
          </w:p>
        </w:tc>
        <w:tc>
          <w:tcPr/>
          <w:p>
            <w:pPr>
              <w:pStyle w:val="Compact"/>
            </w:pPr>
            <w:r>
              <w:t xml:space="preserve">2021</w:t>
            </w:r>
          </w:p>
        </w:tc>
        <w:tc>
          <w:tcPr/>
          <w:p>
            <w:pPr>
              <w:pStyle w:val="Compact"/>
            </w:pPr>
            <w:r>
              <w:t xml:space="preserve">1,404</w:t>
            </w:r>
          </w:p>
        </w:tc>
        <w:tc>
          <w:tcPr/>
          <w:p>
            <w:pPr>
              <w:pStyle w:val="Compact"/>
            </w:pPr>
            <w:r>
              <w:t xml:space="preserve">98.3% continued treatment; no serious AEs</w:t>
            </w:r>
          </w:p>
        </w:tc>
      </w:tr>
      <w:tr>
        <w:tc>
          <w:tcPr/>
          <w:p>
            <w:pPr>
              <w:pStyle w:val="Compact"/>
            </w:pPr>
            <w:r>
              <w:t xml:space="preserve">Jimenez-Cauhe</w:t>
            </w:r>
          </w:p>
        </w:tc>
        <w:tc>
          <w:tcPr/>
          <w:p>
            <w:pPr>
              <w:pStyle w:val="Compact"/>
            </w:pPr>
            <w:r>
              <w:t xml:space="preserve">2020</w:t>
            </w:r>
          </w:p>
        </w:tc>
        <w:tc>
          <w:tcPr/>
          <w:p>
            <w:pPr>
              <w:pStyle w:val="Compact"/>
            </w:pPr>
            <w:r>
              <w:t xml:space="preserve">442</w:t>
            </w:r>
          </w:p>
        </w:tc>
        <w:tc>
          <w:tcPr/>
          <w:p>
            <w:pPr>
              <w:pStyle w:val="Compact"/>
            </w:pPr>
            <w:r>
              <w:t xml:space="preserve">70-100% response rates</w:t>
            </w:r>
          </w:p>
        </w:tc>
      </w:tr>
      <w:tr>
        <w:tc>
          <w:tcPr/>
          <w:p>
            <w:pPr>
              <w:pStyle w:val="Compact"/>
            </w:pPr>
            <w:r>
              <w:t xml:space="preserve">Sinclair</w:t>
            </w:r>
          </w:p>
        </w:tc>
        <w:tc>
          <w:tcPr/>
          <w:p>
            <w:pPr>
              <w:pStyle w:val="Compact"/>
            </w:pPr>
            <w:r>
              <w:t xml:space="preserve">2018</w:t>
            </w:r>
          </w:p>
        </w:tc>
        <w:tc>
          <w:tcPr/>
          <w:p>
            <w:pPr>
              <w:pStyle w:val="Compact"/>
            </w:pPr>
            <w:r>
              <w:t xml:space="preserve">100</w:t>
            </w:r>
          </w:p>
        </w:tc>
        <w:tc>
          <w:tcPr/>
          <w:p>
            <w:pPr>
              <w:pStyle w:val="Compact"/>
            </w:pPr>
            <w:r>
              <w:t xml:space="preserve">"Safe and effective" at 0.25mg</w:t>
            </w:r>
          </w:p>
        </w:tc>
      </w:tr>
    </w:tbl>
    <w:p>
      <w:pPr>
        <w:pStyle w:val="BodyText"/>
      </w:pPr>
      <w:r>
        <w:rPr>
          <w:b/>
          <w:bCs/>
        </w:rPr>
        <w:t xml:space="preserve">This is not "hope" - this is documented clinical success.</w:t>
      </w:r>
    </w:p>
    <w:bookmarkEnd w:id="19"/>
    <w:bookmarkStart w:id="20" w:name="Xb1aa100a8572feebe9d54a9be7d1f4dd707e703"/>
    <w:p>
      <w:pPr>
        <w:pStyle w:val="Heading4"/>
      </w:pPr>
      <w:r>
        <w:t xml:space="preserve">B. The Therapeutic Window Was Already Being Exploited</w:t>
      </w:r>
    </w:p>
    <w:p>
      <w:pPr>
        <w:pStyle w:val="FirstParagraph"/>
      </w:pPr>
      <w:r>
        <w:t xml:space="preserve">Dermatologists worldwide were prescribing low-dose oral minoxidil off-label. The window between efficacy and toxicity was</w:t>
      </w:r>
      <w:r>
        <w:t xml:space="preserve"> </w:t>
      </w:r>
      <w:r>
        <w:rPr>
          <w:b/>
          <w:bCs/>
        </w:rPr>
        <w:t xml:space="preserve">functionally known</w:t>
      </w:r>
      <w:r>
        <w:t xml:space="preserve"> </w:t>
      </w:r>
      <w:r>
        <w:t xml:space="preserve">even if not precisely quantified.</w:t>
      </w:r>
    </w:p>
    <w:bookmarkEnd w:id="20"/>
    <w:bookmarkStart w:id="21" w:name="X6ec95a795be4929c62c2ad0d7be092a3e46d108"/>
    <w:p>
      <w:pPr>
        <w:pStyle w:val="Heading4"/>
      </w:pPr>
      <w:r>
        <w:t xml:space="preserve">C. ER Formulation Outcomes Are Predictable</w:t>
      </w:r>
    </w:p>
    <w:p>
      <w:pPr>
        <w:pStyle w:val="Compact"/>
        <w:numPr>
          <w:ilvl w:val="0"/>
          <w:numId w:val="1004"/>
        </w:numPr>
      </w:pPr>
      <w:r>
        <w:t xml:space="preserve">ER reduces Cmax - this is the</w:t>
      </w:r>
      <w:r>
        <w:t xml:space="preserve"> </w:t>
      </w:r>
      <w:r>
        <w:rPr>
          <w:b/>
          <w:bCs/>
        </w:rPr>
        <w:t xml:space="preserve">definition</w:t>
      </w:r>
      <w:r>
        <w:t xml:space="preserve"> </w:t>
      </w:r>
      <w:r>
        <w:t xml:space="preserve">of ER technology</w:t>
      </w:r>
    </w:p>
    <w:p>
      <w:pPr>
        <w:pStyle w:val="Compact"/>
        <w:numPr>
          <w:ilvl w:val="0"/>
          <w:numId w:val="1004"/>
        </w:numPr>
      </w:pPr>
      <w:r>
        <w:t xml:space="preserve">The magnitude of reduction is calculable from release rate</w:t>
      </w:r>
    </w:p>
    <w:p>
      <w:pPr>
        <w:pStyle w:val="Compact"/>
        <w:numPr>
          <w:ilvl w:val="0"/>
          <w:numId w:val="1004"/>
        </w:numPr>
      </w:pPr>
      <w:r>
        <w:t xml:space="preserve">HPMC matrix behavior is well-characterized with mathematical models</w:t>
      </w:r>
    </w:p>
    <w:bookmarkEnd w:id="21"/>
    <w:bookmarkStart w:id="22" w:name="X3adf3838389b98ba5cb8afd0f07497b4a19b761"/>
    <w:p>
      <w:pPr>
        <w:pStyle w:val="Heading4"/>
      </w:pPr>
      <w:r>
        <w:t xml:space="preserve">D. Minoxidil's Properties Made Success Predictable</w:t>
      </w:r>
    </w:p>
    <w:p>
      <w:pPr>
        <w:pStyle w:val="Compact"/>
        <w:numPr>
          <w:ilvl w:val="0"/>
          <w:numId w:val="1005"/>
        </w:numPr>
      </w:pPr>
      <w:r>
        <w:t xml:space="preserve">High oral bioavailability (~90%)</w:t>
      </w:r>
    </w:p>
    <w:p>
      <w:pPr>
        <w:pStyle w:val="Compact"/>
        <w:numPr>
          <w:ilvl w:val="0"/>
          <w:numId w:val="1005"/>
        </w:numPr>
      </w:pPr>
      <w:r>
        <w:t xml:space="preserve">Moderate half-life (4.2 hours) - ideal for ER</w:t>
      </w:r>
    </w:p>
    <w:p>
      <w:pPr>
        <w:pStyle w:val="Compact"/>
        <w:numPr>
          <w:ilvl w:val="0"/>
          <w:numId w:val="1005"/>
        </w:numPr>
      </w:pPr>
      <w:r>
        <w:t xml:space="preserve">Linear pharmacokinetics</w:t>
      </w:r>
    </w:p>
    <w:p>
      <w:pPr>
        <w:pStyle w:val="Compact"/>
        <w:numPr>
          <w:ilvl w:val="0"/>
          <w:numId w:val="1005"/>
        </w:numPr>
      </w:pPr>
      <w:r>
        <w:t xml:space="preserve">Well-characterized dose-response</w:t>
      </w:r>
    </w:p>
    <w:bookmarkEnd w:id="22"/>
    <w:bookmarkStart w:id="23" w:name="X083aa885f7be0717155463499968b3a1976d4ae"/>
    <w:p>
      <w:pPr>
        <w:pStyle w:val="Heading4"/>
      </w:pPr>
      <w:r>
        <w:t xml:space="preserve">E. Distinguish OSI Pharmaceuticals v. Apotex</w:t>
      </w:r>
    </w:p>
    <w:p>
      <w:pPr>
        <w:pStyle w:val="FirstParagraph"/>
      </w:pPr>
      <w:r>
        <w:t xml:space="preserve">OSI involved cancer treatment with &gt;99.5% Phase II failure rate and no efficacy data. Minoxidil ER involves predictable formulation science with proven clinical efficacy - completely different.</w:t>
      </w:r>
    </w:p>
    <w:bookmarkEnd w:id="23"/>
    <w:p>
      <w:pPr>
        <w:pStyle w:val="BodyText"/>
      </w:pPr>
      <w:r>
        <w:rPr>
          <w:b/>
          <w:bCs/>
        </w:rPr>
        <w:t xml:space="preserve">Key Cases:</w:t>
      </w:r>
    </w:p>
    <w:p>
      <w:pPr>
        <w:pStyle w:val="Compact"/>
        <w:numPr>
          <w:ilvl w:val="0"/>
          <w:numId w:val="1006"/>
        </w:numPr>
      </w:pPr>
      <w:r>
        <w:t xml:space="preserve">In re O'Farrell</w:t>
      </w:r>
      <w:r>
        <w:t xml:space="preserve">, 853 F.2d 894 (Fed. Cir. 1988) - "Obviousness does not require absolute predictability of success"</w:t>
      </w:r>
    </w:p>
    <w:p>
      <w:pPr>
        <w:pStyle w:val="Compact"/>
        <w:numPr>
          <w:ilvl w:val="0"/>
          <w:numId w:val="1006"/>
        </w:numPr>
      </w:pPr>
      <w:r>
        <w:t xml:space="preserve">KSR v. Teleflex</w:t>
      </w:r>
      <w:r>
        <w:t xml:space="preserve">, 550 U.S. 398 (2007) - Reasonable expectation standard</w:t>
      </w:r>
    </w:p>
    <w:p>
      <w:pPr>
        <w:pStyle w:val="Compact"/>
        <w:numPr>
          <w:ilvl w:val="0"/>
          <w:numId w:val="1006"/>
        </w:numPr>
      </w:pPr>
      <w:r>
        <w:t xml:space="preserve">Pfizer v. Apotex</w:t>
      </w:r>
      <w:r>
        <w:t xml:space="preserve">, 480 F.3d 1348 (Fed. Cir. 2007) - Finite options = reasonable expectation</w:t>
      </w:r>
    </w:p>
    <w:p>
      <w:r>
        <w:pict>
          <v:rect style="width:0;height:1.5pt" o:hralign="center" o:hrstd="t" o:hr="t"/>
        </w:pict>
      </w:r>
    </w:p>
    <w:bookmarkEnd w:id="24"/>
    <w:bookmarkStart w:id="30" w:name="arg3"/>
    <w:p>
      <w:pPr>
        <w:pStyle w:val="Heading2"/>
      </w:pPr>
      <w:r>
        <w:t xml:space="preserve">3. Counter: "Prior Art Taught Away from Oral Minoxidil"</w:t>
      </w:r>
    </w:p>
    <w:p>
      <w:pPr>
        <w:pStyle w:val="FirstParagraph"/>
      </w:pPr>
      <w:r>
        <w:t xml:space="preserve">STRONG COUNTER</w:t>
      </w:r>
    </w:p>
    <w:p>
      <w:pPr>
        <w:pStyle w:val="BodyText"/>
      </w:pPr>
      <w:r>
        <w:rPr>
          <w:b/>
          <w:bCs/>
        </w:rPr>
        <w:t xml:space="preserve">Veradermics argues:</w:t>
      </w:r>
      <w:r>
        <w:t xml:space="preserve"> </w:t>
      </w:r>
      <w:r>
        <w:t xml:space="preserve">"The Loniten FDA label contains a BLACK BOX WARNING about cardiac effects, teaching away from oral minoxidil for cosmetic indications like hair loss."</w:t>
      </w:r>
    </w:p>
    <w:bookmarkStart w:id="25" w:name="X5361c5bfe4257ff4408168cb74578cd7896ba5a"/>
    <w:p>
      <w:pPr>
        <w:pStyle w:val="Heading4"/>
      </w:pPr>
      <w:r>
        <w:t xml:space="preserve">Our Response: The Warning Addresses a Different Indication at Different Doses</w:t>
      </w:r>
    </w:p>
    <w:bookmarkEnd w:id="25"/>
    <w:bookmarkStart w:id="26" w:name="Xe9900b1d700d7b2232b75503d846ba65d677c73"/>
    <w:p>
      <w:pPr>
        <w:pStyle w:val="Heading4"/>
      </w:pPr>
      <w:r>
        <w:t xml:space="preserve">A. Teaching Away Requires "Criticize, Discredit, or Discourage"</w:t>
      </w:r>
    </w:p>
    <w:p>
      <w:pPr>
        <w:pStyle w:val="FirstParagraph"/>
      </w:pPr>
      <w:r>
        <w:t xml:space="preserve">Under</w:t>
      </w:r>
      <w:r>
        <w:t xml:space="preserve"> </w:t>
      </w:r>
      <w:r>
        <w:t xml:space="preserve">In re Fulton</w:t>
      </w:r>
      <w:r>
        <w:t xml:space="preserve">, 391 F.3d 1195 (Fed. Cir. 2004): "Mere disclosure of more than one alternative does not constitute teaching away."</w:t>
      </w:r>
    </w:p>
    <w:p>
      <w:pPr>
        <w:pStyle w:val="BodyText"/>
      </w:pPr>
      <w:r>
        <w:t xml:space="preserve">The Loniten warning says</w:t>
      </w:r>
      <w:r>
        <w:t xml:space="preserve"> </w:t>
      </w:r>
      <w:r>
        <w:rPr>
          <w:b/>
          <w:bCs/>
        </w:rPr>
        <w:t xml:space="preserve">NOTHING</w:t>
      </w:r>
      <w:r>
        <w:t xml:space="preserve"> </w:t>
      </w:r>
      <w:r>
        <w:t xml:space="preserve">about:</w:t>
      </w:r>
    </w:p>
    <w:p>
      <w:pPr>
        <w:pStyle w:val="Compact"/>
        <w:numPr>
          <w:ilvl w:val="0"/>
          <w:numId w:val="1007"/>
        </w:numPr>
      </w:pPr>
      <w:r>
        <w:t xml:space="preserve">Hair loss treatment</w:t>
      </w:r>
    </w:p>
    <w:p>
      <w:pPr>
        <w:pStyle w:val="Compact"/>
        <w:numPr>
          <w:ilvl w:val="0"/>
          <w:numId w:val="1007"/>
        </w:numPr>
      </w:pPr>
      <w:r>
        <w:t xml:space="preserve">Low-dose use (0.25-5mg)</w:t>
      </w:r>
    </w:p>
    <w:p>
      <w:pPr>
        <w:pStyle w:val="Compact"/>
        <w:numPr>
          <w:ilvl w:val="0"/>
          <w:numId w:val="1007"/>
        </w:numPr>
      </w:pPr>
      <w:r>
        <w:t xml:space="preserve">Cosmetic indications</w:t>
      </w:r>
    </w:p>
    <w:bookmarkEnd w:id="26"/>
    <w:bookmarkStart w:id="27" w:name="Xfd3de6a89fa274e3fba54bbd4decf76b2551f19"/>
    <w:p>
      <w:pPr>
        <w:pStyle w:val="Heading4"/>
      </w:pPr>
      <w:r>
        <w:t xml:space="preserve">B. Prior Art ACTIVELY ENCOURAGED Oral Minoxidil for Hair Loss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Publication</w:t>
            </w:r>
          </w:p>
        </w:tc>
        <w:tc>
          <w:tcPr/>
          <w:p>
            <w:pPr>
              <w:pStyle w:val="Compact"/>
            </w:pPr>
            <w:r>
              <w:t xml:space="preserve">Conclusion</w:t>
            </w:r>
          </w:p>
        </w:tc>
      </w:tr>
      <w:tr>
        <w:tc>
          <w:tcPr/>
          <w:p>
            <w:pPr>
              <w:pStyle w:val="Compact"/>
            </w:pPr>
            <w:r>
              <w:t xml:space="preserve">Sinclair 2018</w:t>
            </w:r>
          </w:p>
        </w:tc>
        <w:tc>
          <w:tcPr/>
          <w:p>
            <w:pPr>
              <w:pStyle w:val="Compact"/>
            </w:pPr>
            <w:r>
              <w:t xml:space="preserve">"Safe and effective in the treatment of FPHL"</w:t>
            </w:r>
          </w:p>
        </w:tc>
      </w:tr>
      <w:tr>
        <w:tc>
          <w:tcPr/>
          <w:p>
            <w:pPr>
              <w:pStyle w:val="Compact"/>
            </w:pPr>
            <w:r>
              <w:t xml:space="preserve">Randolph &amp; Tosti 2021</w:t>
            </w:r>
          </w:p>
        </w:tc>
        <w:tc>
          <w:tcPr/>
          <w:p>
            <w:pPr>
              <w:pStyle w:val="Compact"/>
            </w:pPr>
            <w:r>
              <w:t xml:space="preserve">"Effective and well-tolerated treatment alternative"</w:t>
            </w:r>
          </w:p>
        </w:tc>
      </w:tr>
      <w:tr>
        <w:tc>
          <w:tcPr/>
          <w:p>
            <w:pPr>
              <w:pStyle w:val="Compact"/>
            </w:pPr>
            <w:r>
              <w:t xml:space="preserve">Vano-Galvan 2021</w:t>
            </w:r>
          </w:p>
        </w:tc>
        <w:tc>
          <w:tcPr/>
          <w:p>
            <w:pPr>
              <w:pStyle w:val="Compact"/>
            </w:pPr>
            <w:r>
              <w:t xml:space="preserve">"Good safety profile" - designated "JAAD Game Changer"</w:t>
            </w:r>
          </w:p>
        </w:tc>
      </w:tr>
    </w:tbl>
    <w:bookmarkEnd w:id="27"/>
    <w:bookmarkStart w:id="28" w:name="Xf20fbf4dcb454f49147a3c2a491109a2cea5d04"/>
    <w:p>
      <w:pPr>
        <w:pStyle w:val="Heading4"/>
      </w:pPr>
      <w:r>
        <w:t xml:space="preserve">C. Widespread Clinical Adoption Proves No Teaching Away</w:t>
      </w:r>
    </w:p>
    <w:p>
      <w:pPr>
        <w:pStyle w:val="Compact"/>
        <w:numPr>
          <w:ilvl w:val="0"/>
          <w:numId w:val="1008"/>
        </w:numPr>
      </w:pPr>
      <w:r>
        <w:t xml:space="preserve">&gt;25% of dermatologists in Spain regularly prescribe it</w:t>
      </w:r>
    </w:p>
    <w:p>
      <w:pPr>
        <w:pStyle w:val="Compact"/>
        <w:numPr>
          <w:ilvl w:val="0"/>
          <w:numId w:val="1008"/>
        </w:numPr>
      </w:pPr>
      <w:r>
        <w:t xml:space="preserve">Major academic centers (Cleveland Clinic, Mayo) adopted it</w:t>
      </w:r>
    </w:p>
    <w:p>
      <w:pPr>
        <w:pStyle w:val="Compact"/>
        <w:numPr>
          <w:ilvl w:val="0"/>
          <w:numId w:val="1008"/>
        </w:numPr>
      </w:pPr>
      <w:r>
        <w:t xml:space="preserve">International consensus guidelines developed by 43 experts</w:t>
      </w:r>
    </w:p>
    <w:p>
      <w:pPr>
        <w:pStyle w:val="FirstParagraph"/>
      </w:pPr>
      <w:r>
        <w:rPr>
          <w:b/>
          <w:bCs/>
        </w:rPr>
        <w:t xml:space="preserve">If the art "taught away," why were thousands of doctors doing it?</w:t>
      </w:r>
    </w:p>
    <w:bookmarkEnd w:id="28"/>
    <w:bookmarkStart w:id="29" w:name="Xd4b0692071d0751e10a738f39d036021a376f23"/>
    <w:p>
      <w:pPr>
        <w:pStyle w:val="Heading4"/>
      </w:pPr>
      <w:r>
        <w:t xml:space="preserve">D. Teaching Away from IR ≠ Teaching Away from ER</w:t>
      </w:r>
    </w:p>
    <w:p>
      <w:pPr>
        <w:pStyle w:val="FirstParagraph"/>
      </w:pPr>
      <w:r>
        <w:t xml:space="preserve">The safety concerns are about HIGH Cmax from IR. Making ER to reduce Cmax is the</w:t>
      </w:r>
      <w:r>
        <w:t xml:space="preserve"> </w:t>
      </w:r>
      <w:r>
        <w:rPr>
          <w:b/>
          <w:bCs/>
        </w:rPr>
        <w:t xml:space="preserve">obvious solution</w:t>
      </w:r>
      <w:r>
        <w:t xml:space="preserve"> </w:t>
      </w:r>
      <w:r>
        <w:t xml:space="preserve">to the known problem - not something taught against.</w:t>
      </w:r>
    </w:p>
    <w:bookmarkEnd w:id="29"/>
    <w:p>
      <w:pPr>
        <w:pStyle w:val="BodyText"/>
      </w:pPr>
      <w:r>
        <w:rPr>
          <w:b/>
          <w:bCs/>
        </w:rPr>
        <w:t xml:space="preserve">Key Cases:</w:t>
      </w:r>
    </w:p>
    <w:p>
      <w:pPr>
        <w:pStyle w:val="Compact"/>
        <w:numPr>
          <w:ilvl w:val="0"/>
          <w:numId w:val="1009"/>
        </w:numPr>
      </w:pPr>
      <w:r>
        <w:t xml:space="preserve">In re Gurley</w:t>
      </w:r>
      <w:r>
        <w:t xml:space="preserve">, 27 F.3d 551 (Fed. Cir. 1994) - Teaching away requires discouragement from claimed path</w:t>
      </w:r>
    </w:p>
    <w:p>
      <w:pPr>
        <w:pStyle w:val="Compact"/>
        <w:numPr>
          <w:ilvl w:val="0"/>
          <w:numId w:val="1009"/>
        </w:numPr>
      </w:pPr>
      <w:r>
        <w:t xml:space="preserve">Galderma v. Tolmar</w:t>
      </w:r>
      <w:r>
        <w:t xml:space="preserve"> </w:t>
      </w:r>
      <w:r>
        <w:t xml:space="preserve">(Fed. Cir. 2013) - Preference for alternatives ≠ teaching away</w:t>
      </w:r>
    </w:p>
    <w:p>
      <w:pPr>
        <w:pStyle w:val="Compact"/>
        <w:numPr>
          <w:ilvl w:val="0"/>
          <w:numId w:val="1009"/>
        </w:numPr>
      </w:pPr>
      <w:r>
        <w:t xml:space="preserve">Wyers v. Master Lock</w:t>
      </w:r>
      <w:r>
        <w:t xml:space="preserve">, 616 F.3d 1231 (Fed. Cir. 2010) - Must show actual discouragement</w:t>
      </w:r>
    </w:p>
    <w:p>
      <w:r>
        <w:pict>
          <v:rect style="width:0;height:1.5pt" o:hralign="center" o:hrstd="t" o:hr="t"/>
        </w:pict>
      </w:r>
    </w:p>
    <w:bookmarkEnd w:id="30"/>
    <w:bookmarkStart w:id="36" w:name="arg4"/>
    <w:p>
      <w:pPr>
        <w:pStyle w:val="Heading2"/>
      </w:pPr>
      <w:r>
        <w:t xml:space="preserve">4. Counter: "Strong Secondary Considerations"</w:t>
      </w:r>
    </w:p>
    <w:p>
      <w:pPr>
        <w:pStyle w:val="FirstParagraph"/>
      </w:pPr>
      <w:r>
        <w:t xml:space="preserve">STRONG COUNTER</w:t>
      </w:r>
    </w:p>
    <w:p>
      <w:pPr>
        <w:pStyle w:val="BodyText"/>
      </w:pPr>
      <w:r>
        <w:rPr>
          <w:b/>
          <w:bCs/>
        </w:rPr>
        <w:t xml:space="preserve">Veradermics argues:</w:t>
      </w:r>
      <w:r>
        <w:t xml:space="preserve"> </w:t>
      </w:r>
      <w:r>
        <w:t xml:space="preserve">"Long-felt need for safe oral hair loss treatment, commercial success ($150M Series C, $256M IPO), and failure of others to develop ER minoxidil demonstrate non-obviousness."</w:t>
      </w:r>
    </w:p>
    <w:bookmarkStart w:id="31" w:name="X46e82d1113125179ef945b0e21e6e4a119a3386"/>
    <w:p>
      <w:pPr>
        <w:pStyle w:val="Heading4"/>
      </w:pPr>
      <w:r>
        <w:t xml:space="preserve">Our Response: Each Secondary Consideration Fails</w:t>
      </w:r>
    </w:p>
    <w:bookmarkEnd w:id="31"/>
    <w:bookmarkStart w:id="32" w:name="X7b393ea63fe517fba1ae8aace2bb52f56b60c3a"/>
    <w:p>
      <w:pPr>
        <w:pStyle w:val="Heading4"/>
      </w:pPr>
      <w:r>
        <w:t xml:space="preserve">A. No Long-Felt Need - The Need Was Already Being Met</w:t>
      </w:r>
    </w:p>
    <w:p>
      <w:pPr>
        <w:pStyle w:val="FirstParagraph"/>
      </w:pPr>
      <w:r>
        <w:t xml:space="preserve">1,404+ patients were successfully treated with off-label oral minoxidil before October 2022. The "unmet need" was already being addressed by dermatologists worldwide.</w:t>
      </w:r>
    </w:p>
    <w:bookmarkEnd w:id="32"/>
    <w:bookmarkStart w:id="33" w:name="X8ae6221e323d1679b3ab4008428b7de731b3b78"/>
    <w:p>
      <w:pPr>
        <w:pStyle w:val="Heading4"/>
      </w:pPr>
      <w:r>
        <w:t xml:space="preserve">B. Commercial Success Has No Nexus to Claimed Features</w:t>
      </w:r>
    </w:p>
    <w:p>
      <w:pPr>
        <w:pStyle w:val="FirstParagraph"/>
      </w:pPr>
      <w:r>
        <w:t xml:space="preserve">Under</w:t>
      </w:r>
      <w:r>
        <w:t xml:space="preserve"> </w:t>
      </w:r>
      <w:r>
        <w:t xml:space="preserve">Fox Factory v. SRAM</w:t>
      </w:r>
      <w:r>
        <w:t xml:space="preserve"> </w:t>
      </w:r>
      <w:r>
        <w:t xml:space="preserve">(Fed. Cir. 2019), success must be tied to</w:t>
      </w:r>
      <w:r>
        <w:t xml:space="preserve"> </w:t>
      </w:r>
      <w:r>
        <w:rPr>
          <w:b/>
          <w:bCs/>
        </w:rPr>
        <w:t xml:space="preserve">claimed features</w:t>
      </w:r>
      <w:r>
        <w:t xml:space="preserve">, not external factors.</w:t>
      </w:r>
    </w:p>
    <w:p>
      <w:pPr>
        <w:pStyle w:val="BodyText"/>
      </w:pPr>
      <w:r>
        <w:t xml:space="preserve">Veradermics' value derives from:</w:t>
      </w:r>
    </w:p>
    <w:p>
      <w:pPr>
        <w:pStyle w:val="Compact"/>
        <w:numPr>
          <w:ilvl w:val="0"/>
          <w:numId w:val="1010"/>
        </w:numPr>
      </w:pPr>
      <w:r>
        <w:t xml:space="preserve">FDA approval status (regulatory, not technical)</w:t>
      </w:r>
    </w:p>
    <w:p>
      <w:pPr>
        <w:pStyle w:val="Compact"/>
        <w:numPr>
          <w:ilvl w:val="0"/>
          <w:numId w:val="1010"/>
        </w:numPr>
      </w:pPr>
      <w:r>
        <w:t xml:space="preserve">Being "first FDA-approved" (marketing advantage)</w:t>
      </w:r>
    </w:p>
    <w:p>
      <w:pPr>
        <w:pStyle w:val="Compact"/>
        <w:numPr>
          <w:ilvl w:val="0"/>
          <w:numId w:val="1010"/>
        </w:numPr>
      </w:pPr>
      <w:r>
        <w:t xml:space="preserve">Minoxidil's known efficacy (the drug, not the matrix)</w:t>
      </w:r>
    </w:p>
    <w:p>
      <w:pPr>
        <w:pStyle w:val="Compact"/>
        <w:numPr>
          <w:ilvl w:val="0"/>
          <w:numId w:val="1010"/>
        </w:numPr>
      </w:pPr>
      <w:r>
        <w:t xml:space="preserve">Insurance coverage for Rx products</w:t>
      </w:r>
    </w:p>
    <w:p>
      <w:pPr>
        <w:pStyle w:val="FirstParagraph"/>
      </w:pPr>
      <w:r>
        <w:rPr>
          <w:b/>
          <w:bCs/>
        </w:rPr>
        <w:t xml:space="preserve">None of these relate to HPMC matrix formulation.</w:t>
      </w:r>
    </w:p>
    <w:bookmarkEnd w:id="33"/>
    <w:bookmarkStart w:id="34" w:name="Xbe13024afcd9a1ace209d14f0d8db0b902810b6"/>
    <w:p>
      <w:pPr>
        <w:pStyle w:val="Heading4"/>
      </w:pPr>
      <w:r>
        <w:t xml:space="preserve">C. No "Failure of Others" - Others Weren't Trying</w:t>
      </w:r>
    </w:p>
    <w:p>
      <w:pPr>
        <w:pStyle w:val="FirstParagraph"/>
      </w:pPr>
      <w:r>
        <w:t xml:space="preserve">Under</w:t>
      </w:r>
      <w:r>
        <w:t xml:space="preserve"> </w:t>
      </w:r>
      <w:r>
        <w:t xml:space="preserve">Stratoflex v. Aeroquip</w:t>
      </w:r>
      <w:r>
        <w:t xml:space="preserve">, must show others</w:t>
      </w:r>
      <w:r>
        <w:t xml:space="preserve"> </w:t>
      </w:r>
      <w:r>
        <w:rPr>
          <w:b/>
          <w:bCs/>
        </w:rPr>
        <w:t xml:space="preserve">tried and failed</w:t>
      </w:r>
      <w:r>
        <w:t xml:space="preserve">.</w:t>
      </w:r>
    </w:p>
    <w:p>
      <w:pPr>
        <w:pStyle w:val="BodyText"/>
      </w:pPr>
      <w:r>
        <w:t xml:space="preserve">No evidence anyone attempted and failed to make ER minoxidil. Lack of commercial development reflects business decisions (off-label market existed, generic minoxidil is $4/month), not technical barriers.</w:t>
      </w:r>
    </w:p>
    <w:bookmarkEnd w:id="34"/>
    <w:bookmarkStart w:id="35" w:name="X84e69ba0a4087656ecceef5b2469b6986578bc3"/>
    <w:p>
      <w:pPr>
        <w:pStyle w:val="Heading4"/>
      </w:pPr>
      <w:r>
        <w:t xml:space="preserve">D. Weak Secondaries Cannot Overcome Strong Prima Facie Obviousness</w:t>
      </w:r>
    </w:p>
    <w:p>
      <w:pPr>
        <w:pStyle w:val="FirstParagraph"/>
      </w:pPr>
      <w:r>
        <w:t xml:space="preserve">Under</w:t>
      </w:r>
      <w:r>
        <w:t xml:space="preserve"> </w:t>
      </w:r>
      <w:r>
        <w:t xml:space="preserve">Wyers v. Master Lock</w:t>
      </w:r>
      <w:r>
        <w:t xml:space="preserve">: "Secondary considerations cannot overcome a strong prima facie case of obviousness."</w:t>
      </w:r>
    </w:p>
    <w:bookmarkEnd w:id="35"/>
    <w:p>
      <w:pPr>
        <w:pStyle w:val="BodyText"/>
      </w:pPr>
      <w:r>
        <w:rPr>
          <w:b/>
          <w:bCs/>
        </w:rPr>
        <w:t xml:space="preserve">Key Cases:</w:t>
      </w:r>
    </w:p>
    <w:p>
      <w:pPr>
        <w:pStyle w:val="Compact"/>
        <w:numPr>
          <w:ilvl w:val="0"/>
          <w:numId w:val="1011"/>
        </w:numPr>
      </w:pPr>
      <w:r>
        <w:t xml:space="preserve">Adapt Pharma v. Teva</w:t>
      </w:r>
      <w:r>
        <w:t xml:space="preserve"> </w:t>
      </w:r>
      <w:r>
        <w:t xml:space="preserve">(Fed. Cir. 2022) - Long-felt need of 3 years insufficient</w:t>
      </w:r>
    </w:p>
    <w:p>
      <w:pPr>
        <w:pStyle w:val="Compact"/>
        <w:numPr>
          <w:ilvl w:val="0"/>
          <w:numId w:val="1011"/>
        </w:numPr>
      </w:pPr>
      <w:r>
        <w:t xml:space="preserve">Ormco v. Align</w:t>
      </w:r>
      <w:r>
        <w:t xml:space="preserve">, 463 F.3d 1299 (Fed. Cir. 2006) - Success from unclaimed features irrelevant</w:t>
      </w:r>
    </w:p>
    <w:p>
      <w:pPr>
        <w:pStyle w:val="Compact"/>
        <w:numPr>
          <w:ilvl w:val="0"/>
          <w:numId w:val="1011"/>
        </w:numPr>
      </w:pPr>
      <w:r>
        <w:t xml:space="preserve">Galderma v. Tolmar</w:t>
      </w:r>
      <w:r>
        <w:t xml:space="preserve"> </w:t>
      </w:r>
      <w:r>
        <w:t xml:space="preserve">(Fed. Cir. 2013) - Blocking patents/exclusivity defeat nexus</w:t>
      </w:r>
    </w:p>
    <w:p>
      <w:r>
        <w:pict>
          <v:rect style="width:0;height:1.5pt" o:hralign="center" o:hrstd="t" o:hr="t"/>
        </w:pict>
      </w:r>
    </w:p>
    <w:bookmarkEnd w:id="36"/>
    <w:bookmarkStart w:id="45" w:name="arg5"/>
    <w:p>
      <w:pPr>
        <w:pStyle w:val="Heading2"/>
      </w:pPr>
      <w:r>
        <w:t xml:space="preserve">5. Counter: "Doctrine of Equivalents" (Lipid Matrix Infringes)</w:t>
      </w:r>
    </w:p>
    <w:p>
      <w:pPr>
        <w:pStyle w:val="FirstParagraph"/>
      </w:pPr>
      <w:r>
        <w:t xml:space="preserve">STRONG COUNTER</w:t>
      </w:r>
    </w:p>
    <w:p>
      <w:pPr>
        <w:pStyle w:val="BodyText"/>
      </w:pPr>
      <w:r>
        <w:rPr>
          <w:b/>
          <w:bCs/>
        </w:rPr>
        <w:t xml:space="preserve">Veradermics argues:</w:t>
      </w:r>
      <w:r>
        <w:t xml:space="preserve"> </w:t>
      </w:r>
      <w:r>
        <w:t xml:space="preserve">"Even if lipid matrix doesn't literally infringe, it infringes under doctrine of equivalents because it performs the same function, in the same way, to achieve the same result."</w:t>
      </w:r>
    </w:p>
    <w:bookmarkStart w:id="37" w:name="our-response-seven-independent-defenses"/>
    <w:p>
      <w:pPr>
        <w:pStyle w:val="Heading4"/>
      </w:pPr>
      <w:r>
        <w:t xml:space="preserve">Our Response: Seven Independent Defenses</w:t>
      </w:r>
    </w:p>
    <w:bookmarkEnd w:id="37"/>
    <w:bookmarkStart w:id="38" w:name="X9d4c0a39fc736fe1e5d1ad76e7f16954d0777fc"/>
    <w:p>
      <w:pPr>
        <w:pStyle w:val="Heading4"/>
      </w:pPr>
      <w:r>
        <w:t xml:space="preserve">A. Different "WAY" - Mechanisms Are Fundamentally Different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HPMC (Veradermics)</w:t>
            </w:r>
          </w:p>
        </w:tc>
        <w:tc>
          <w:tcPr/>
          <w:p>
            <w:pPr>
              <w:pStyle w:val="Compact"/>
            </w:pPr>
            <w:r>
              <w:t xml:space="preserve">Lipid Matrix (Ours)</w:t>
            </w:r>
          </w:p>
        </w:tc>
      </w:tr>
      <w:tr>
        <w:tc>
          <w:tcPr/>
          <w:p>
            <w:pPr>
              <w:pStyle w:val="Compact"/>
            </w:pPr>
            <w:r>
              <w:t xml:space="preserve">Water interaction</w:t>
            </w:r>
          </w:p>
        </w:tc>
        <w:tc>
          <w:tcPr/>
          <w:p>
            <w:pPr>
              <w:pStyle w:val="Compact"/>
            </w:pPr>
            <w:r>
              <w:t xml:space="preserve">Hydrophilic - absorbs water</w:t>
            </w:r>
          </w:p>
        </w:tc>
        <w:tc>
          <w:tcPr/>
          <w:p>
            <w:pPr>
              <w:pStyle w:val="Compact"/>
            </w:pPr>
            <w:r>
              <w:t xml:space="preserve">Hydrophobic - repels water</w:t>
            </w:r>
          </w:p>
        </w:tc>
      </w:tr>
      <w:tr>
        <w:tc>
          <w:tcPr/>
          <w:p>
            <w:pPr>
              <w:pStyle w:val="Compact"/>
            </w:pPr>
            <w:r>
              <w:t xml:space="preserve">Swelling</w:t>
            </w:r>
          </w:p>
        </w:tc>
        <w:tc>
          <w:tcPr/>
          <w:p>
            <w:pPr>
              <w:pStyle w:val="Compact"/>
            </w:pPr>
            <w:r>
              <w:t xml:space="preserve">Swells 2-4x in volume</w:t>
            </w:r>
          </w:p>
        </w:tc>
        <w:tc>
          <w:tcPr/>
          <w:p>
            <w:pPr>
              <w:pStyle w:val="Compact"/>
            </w:pPr>
            <w:r>
              <w:t xml:space="preserve">Does NOT swell</w:t>
            </w:r>
          </w:p>
        </w:tc>
      </w:tr>
      <w:tr>
        <w:tc>
          <w:tcPr/>
          <w:p>
            <w:pPr>
              <w:pStyle w:val="Compact"/>
            </w:pPr>
            <w:r>
              <w:t xml:space="preserve">Gel formation</w:t>
            </w:r>
          </w:p>
        </w:tc>
        <w:tc>
          <w:tcPr/>
          <w:p>
            <w:pPr>
              <w:pStyle w:val="Compact"/>
            </w:pPr>
            <w:r>
              <w:t xml:space="preserve">Forms viscous hydrogel</w:t>
            </w:r>
          </w:p>
        </w:tc>
        <w:tc>
          <w:tcPr/>
          <w:p>
            <w:pPr>
              <w:pStyle w:val="Compact"/>
            </w:pPr>
            <w:r>
              <w:t xml:space="preserve">NO gel - remains solid</w:t>
            </w:r>
          </w:p>
        </w:tc>
      </w:tr>
      <w:tr>
        <w:tc>
          <w:tcPr/>
          <w:p>
            <w:pPr>
              <w:pStyle w:val="Compact"/>
            </w:pPr>
            <w:r>
              <w:t xml:space="preserve">Release mechanism</w:t>
            </w:r>
          </w:p>
        </w:tc>
        <w:tc>
          <w:tcPr/>
          <w:p>
            <w:pPr>
              <w:pStyle w:val="Compact"/>
            </w:pPr>
            <w:r>
              <w:t xml:space="preserve">Diffusion through gel layer</w:t>
            </w:r>
          </w:p>
        </w:tc>
        <w:tc>
          <w:tcPr/>
          <w:p>
            <w:pPr>
              <w:pStyle w:val="Compact"/>
            </w:pPr>
            <w:r>
              <w:t xml:space="preserve">Diffusion through pores/channels</w:t>
            </w:r>
          </w:p>
        </w:tc>
      </w:tr>
    </w:tbl>
    <w:bookmarkEnd w:id="38"/>
    <w:bookmarkStart w:id="39" w:name="b.-prosecution-history-estoppel"/>
    <w:p>
      <w:pPr>
        <w:pStyle w:val="Heading4"/>
      </w:pPr>
      <w:r>
        <w:t xml:space="preserve">B. Prosecution History Estoppel</w:t>
      </w:r>
    </w:p>
    <w:p>
      <w:pPr>
        <w:pStyle w:val="FirstParagraph"/>
      </w:pPr>
      <w:r>
        <w:t xml:space="preserve">Any narrowing amendments or arguments during prosecution that emphasized HPMC properties create estoppel under</w:t>
      </w:r>
      <w:r>
        <w:t xml:space="preserve"> </w:t>
      </w:r>
      <w:r>
        <w:t xml:space="preserve">Festo</w:t>
      </w:r>
      <w:r>
        <w:t xml:space="preserve">.</w:t>
      </w:r>
    </w:p>
    <w:bookmarkEnd w:id="39"/>
    <w:bookmarkStart w:id="40" w:name="c.-disclosure-dedication-rule"/>
    <w:p>
      <w:pPr>
        <w:pStyle w:val="Heading4"/>
      </w:pPr>
      <w:r>
        <w:t xml:space="preserve">C. Disclosure-Dedication Rule</w:t>
      </w:r>
    </w:p>
    <w:p>
      <w:pPr>
        <w:pStyle w:val="FirstParagraph"/>
      </w:pPr>
      <w:r>
        <w:t xml:space="preserve">If the specification contemplated alternative mechanisms but only claimed HPMC, alternatives are dedicated to the public under</w:t>
      </w:r>
      <w:r>
        <w:t xml:space="preserve"> </w:t>
      </w:r>
      <w:r>
        <w:t xml:space="preserve">Indivior v. Dr. Reddy's</w:t>
      </w:r>
      <w:r>
        <w:t xml:space="preserve">.</w:t>
      </w:r>
    </w:p>
    <w:bookmarkEnd w:id="40"/>
    <w:bookmarkStart w:id="41" w:name="d.-vitiation-all-elements-rule"/>
    <w:p>
      <w:pPr>
        <w:pStyle w:val="Heading4"/>
      </w:pPr>
      <w:r>
        <w:t xml:space="preserve">D. Vitiation / All-Elements Rule</w:t>
      </w:r>
    </w:p>
    <w:p>
      <w:pPr>
        <w:pStyle w:val="FirstParagraph"/>
      </w:pPr>
      <w:r>
        <w:t xml:space="preserve">Finding lipids equivalent to HPMC would</w:t>
      </w:r>
      <w:r>
        <w:t xml:space="preserve"> </w:t>
      </w:r>
      <w:r>
        <w:rPr>
          <w:b/>
          <w:bCs/>
        </w:rPr>
        <w:t xml:space="preserve">vitiate</w:t>
      </w:r>
      <w:r>
        <w:t xml:space="preserve"> </w:t>
      </w:r>
      <w:r>
        <w:t xml:space="preserve">the "release modifier" limitation - if ANY release mechanism qualifies, the limitation has no meaning.</w:t>
      </w:r>
    </w:p>
    <w:bookmarkEnd w:id="41"/>
    <w:bookmarkStart w:id="42" w:name="Xb9d21fa5772016b23f01dbebe90e81b4fd72d7e"/>
    <w:p>
      <w:pPr>
        <w:pStyle w:val="Heading4"/>
      </w:pPr>
      <w:r>
        <w:t xml:space="preserve">E. Prior Art Limits Equivalents (Ensnarement)</w:t>
      </w:r>
    </w:p>
    <w:p>
      <w:pPr>
        <w:pStyle w:val="FirstParagraph"/>
      </w:pPr>
      <w:r>
        <w:t xml:space="preserve">Under</w:t>
      </w:r>
      <w:r>
        <w:t xml:space="preserve"> </w:t>
      </w:r>
      <w:r>
        <w:t xml:space="preserve">Wilson Sporting Goods</w:t>
      </w:r>
      <w:r>
        <w:t xml:space="preserve">, a hypothetical claim covering lipid matrices would be invalid over prior art (30+ years of lipid matrix technology).</w:t>
      </w:r>
    </w:p>
    <w:bookmarkEnd w:id="42"/>
    <w:bookmarkStart w:id="43" w:name="f.-public-dedication"/>
    <w:p>
      <w:pPr>
        <w:pStyle w:val="Heading4"/>
      </w:pPr>
      <w:r>
        <w:t xml:space="preserve">F. Public Dedication</w:t>
      </w:r>
    </w:p>
    <w:p>
      <w:pPr>
        <w:pStyle w:val="FirstParagraph"/>
      </w:pPr>
      <w:r>
        <w:t xml:space="preserve">Lipid matrix technology is well-established public domain - Compritol has been used commercially for 30+ years.</w:t>
      </w:r>
    </w:p>
    <w:bookmarkEnd w:id="43"/>
    <w:bookmarkStart w:id="44" w:name="g.-insubstantial-differences-test-fails"/>
    <w:p>
      <w:pPr>
        <w:pStyle w:val="Heading4"/>
      </w:pPr>
      <w:r>
        <w:t xml:space="preserve">G. Insubstantial Differences Test Fails</w:t>
      </w:r>
    </w:p>
    <w:p>
      <w:pPr>
        <w:pStyle w:val="FirstParagraph"/>
      </w:pPr>
      <w:r>
        <w:t xml:space="preserve">The differences between hydrophilic polymer gels and hydrophobic lipid matrices are</w:t>
      </w:r>
      <w:r>
        <w:t xml:space="preserve"> </w:t>
      </w:r>
      <w:r>
        <w:rPr>
          <w:b/>
          <w:bCs/>
        </w:rPr>
        <w:t xml:space="preserve">substantial</w:t>
      </w:r>
      <w:r>
        <w:t xml:space="preserve">, not insubstantial - different chemistry, physics, and biology.</w:t>
      </w:r>
    </w:p>
    <w:bookmarkEnd w:id="44"/>
    <w:p>
      <w:pPr>
        <w:pStyle w:val="BodyText"/>
      </w:pPr>
      <w:r>
        <w:rPr>
          <w:b/>
          <w:bCs/>
        </w:rPr>
        <w:t xml:space="preserve">Key Cases:</w:t>
      </w:r>
    </w:p>
    <w:p>
      <w:pPr>
        <w:pStyle w:val="Compact"/>
        <w:numPr>
          <w:ilvl w:val="0"/>
          <w:numId w:val="1012"/>
        </w:numPr>
      </w:pPr>
      <w:r>
        <w:t xml:space="preserve">Festo Corp. v. Shoketsu Kinzoku</w:t>
      </w:r>
      <w:r>
        <w:t xml:space="preserve">, 535 U.S. 722 (2002) - Prosecution history estoppel</w:t>
      </w:r>
    </w:p>
    <w:p>
      <w:pPr>
        <w:pStyle w:val="Compact"/>
        <w:numPr>
          <w:ilvl w:val="0"/>
          <w:numId w:val="1012"/>
        </w:numPr>
      </w:pPr>
      <w:r>
        <w:t xml:space="preserve">Wilson Sporting Goods v. David Geoffrey</w:t>
      </w:r>
      <w:r>
        <w:t xml:space="preserve">, 904 F.2d 677 (Fed. Cir. 1990) - Prior art limits equivalents</w:t>
      </w:r>
    </w:p>
    <w:p>
      <w:pPr>
        <w:pStyle w:val="Compact"/>
        <w:numPr>
          <w:ilvl w:val="0"/>
          <w:numId w:val="1012"/>
        </w:numPr>
      </w:pPr>
      <w:r>
        <w:t xml:space="preserve">Pennwalt v. Durand-Wayland</w:t>
      </w:r>
      <w:r>
        <w:t xml:space="preserve">, 833 F.2d 931 (Fed. Cir. 1987) - "Way" requirement importance</w:t>
      </w:r>
    </w:p>
    <w:p>
      <w:r>
        <w:pict>
          <v:rect style="width:0;height:1.5pt" o:hralign="center" o:hrstd="t" o:hr="t"/>
        </w:pict>
      </w:r>
    </w:p>
    <w:bookmarkEnd w:id="45"/>
    <w:bookmarkStart w:id="52" w:name="arg6"/>
    <w:p>
      <w:pPr>
        <w:pStyle w:val="Heading2"/>
      </w:pPr>
      <w:r>
        <w:t xml:space="preserve">6. Counter: "Unexpected Results Establish Non-Obviousness"</w:t>
      </w:r>
    </w:p>
    <w:p>
      <w:pPr>
        <w:pStyle w:val="FirstParagraph"/>
      </w:pPr>
      <w:r>
        <w:t xml:space="preserve">STRONG COUNTER</w:t>
      </w:r>
    </w:p>
    <w:p>
      <w:pPr>
        <w:pStyle w:val="BodyText"/>
      </w:pPr>
      <w:r>
        <w:rPr>
          <w:b/>
          <w:bCs/>
        </w:rPr>
        <w:t xml:space="preserve">Veradermics argues:</w:t>
      </w:r>
      <w:r>
        <w:t xml:space="preserve"> </w:t>
      </w:r>
      <w:r>
        <w:t xml:space="preserve">"We discovered an unexpected therapeutic window where hair growth occurs without cardiac side effects. The specific Cmax reduction with maintained efficacy was not predictable."</w:t>
      </w:r>
    </w:p>
    <w:bookmarkStart w:id="46" w:name="X929555b6ec05fb0bc38194f6af35b5d3743cb14"/>
    <w:p>
      <w:pPr>
        <w:pStyle w:val="Heading4"/>
      </w:pPr>
      <w:r>
        <w:t xml:space="preserve">Our Response: Every Result Was Completely Predictable</w:t>
      </w:r>
    </w:p>
    <w:bookmarkEnd w:id="46"/>
    <w:bookmarkStart w:id="47" w:name="X5f95146c4d76f0d6ee57f40f1addaf4a93512f3"/>
    <w:p>
      <w:pPr>
        <w:pStyle w:val="Heading4"/>
      </w:pPr>
      <w:r>
        <w:t xml:space="preserve">A. ER Reduces Cmax - That's the DEFINITION of ER</w:t>
      </w:r>
    </w:p>
    <w:p>
      <w:pPr>
        <w:pStyle w:val="FirstParagraph"/>
      </w:pPr>
      <w:r>
        <w:t xml:space="preserve">Claiming "ER reduces Cmax" as unexpected is like claiming "water is wet." This is the fundamental purpose of extended-release technology.</w:t>
      </w:r>
    </w:p>
    <w:bookmarkEnd w:id="47"/>
    <w:bookmarkStart w:id="48" w:name="X79934c31db3df75cc3cce8901237fd24977b3a7"/>
    <w:p>
      <w:pPr>
        <w:pStyle w:val="Heading4"/>
      </w:pPr>
      <w:r>
        <w:t xml:space="preserve">B. The Therapeutic Window Was Already Clinically Known</w:t>
      </w:r>
    </w:p>
    <w:p>
      <w:pPr>
        <w:pStyle w:val="FirstParagraph"/>
      </w:pPr>
      <w:r>
        <w:t xml:space="preserve">Dermatologists were already exploiting the therapeutic window through off-label prescribing. Veradermics merely</w:t>
      </w:r>
      <w:r>
        <w:t xml:space="preserve"> </w:t>
      </w:r>
      <w:r>
        <w:rPr>
          <w:b/>
          <w:bCs/>
        </w:rPr>
        <w:t xml:space="preserve">quantified</w:t>
      </w:r>
      <w:r>
        <w:t xml:space="preserve"> </w:t>
      </w:r>
      <w:r>
        <w:t xml:space="preserve">what was functionally known.</w:t>
      </w:r>
    </w:p>
    <w:bookmarkEnd w:id="48"/>
    <w:bookmarkStart w:id="49" w:name="X3dcec7f42f95e498118a8d0cbba24bea313d654"/>
    <w:p>
      <w:pPr>
        <w:pStyle w:val="Heading4"/>
      </w:pPr>
      <w:r>
        <w:t xml:space="preserve">C. Quantifying Known Effects Is Not Patentable</w:t>
      </w:r>
    </w:p>
    <w:p>
      <w:pPr>
        <w:pStyle w:val="FirstParagraph"/>
      </w:pPr>
      <w:r>
        <w:t xml:space="preserve">Under</w:t>
      </w:r>
      <w:r>
        <w:t xml:space="preserve"> </w:t>
      </w:r>
      <w:r>
        <w:t xml:space="preserve">In re Aller</w:t>
      </w:r>
      <w:r>
        <w:t xml:space="preserve">: "It is not inventive to discover the optimum or workable ranges by routine experimentation."</w:t>
      </w:r>
    </w:p>
    <w:bookmarkEnd w:id="49"/>
    <w:bookmarkStart w:id="50" w:name="d.-compare-to-true-unexpected-results"/>
    <w:p>
      <w:pPr>
        <w:pStyle w:val="Heading4"/>
      </w:pPr>
      <w:r>
        <w:t xml:space="preserve">D. Compare to TRUE Unexpected Results</w:t>
      </w:r>
    </w:p>
    <w:p>
      <w:pPr>
        <w:pStyle w:val="FirstParagraph"/>
      </w:pPr>
      <w:r>
        <w:t xml:space="preserve">In</w:t>
      </w:r>
      <w:r>
        <w:t xml:space="preserve"> </w:t>
      </w:r>
      <w:r>
        <w:t xml:space="preserve">Allergan v. Sandoz</w:t>
      </w:r>
      <w:r>
        <w:t xml:space="preserve"> </w:t>
      </w:r>
      <w:r>
        <w:t xml:space="preserve">(Lumigan), lower concentration was expected to have LESS efficacy but maintained it - results</w:t>
      </w:r>
      <w:r>
        <w:t xml:space="preserve"> </w:t>
      </w:r>
      <w:r>
        <w:rPr>
          <w:b/>
          <w:bCs/>
        </w:rPr>
        <w:t xml:space="preserve">contradicted</w:t>
      </w:r>
      <w:r>
        <w:t xml:space="preserve"> </w:t>
      </w:r>
      <w:r>
        <w:t xml:space="preserve">expectations.</w:t>
      </w:r>
    </w:p>
    <w:p>
      <w:pPr>
        <w:pStyle w:val="BodyText"/>
      </w:pPr>
      <w:r>
        <w:t xml:space="preserve">Here, Veradermics' results</w:t>
      </w:r>
      <w:r>
        <w:t xml:space="preserve"> </w:t>
      </w:r>
      <w:r>
        <w:rPr>
          <w:b/>
          <w:bCs/>
        </w:rPr>
        <w:t xml:space="preserve">perfectly match</w:t>
      </w:r>
      <w:r>
        <w:t xml:space="preserve"> </w:t>
      </w:r>
      <w:r>
        <w:t xml:space="preserve">expectations: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Prediction</w:t>
            </w:r>
          </w:p>
        </w:tc>
        <w:tc>
          <w:tcPr/>
          <w:p>
            <w:pPr>
              <w:pStyle w:val="Compact"/>
            </w:pPr>
            <w:r>
              <w:t xml:space="preserve">Result</w:t>
            </w:r>
          </w:p>
        </w:tc>
        <w:tc>
          <w:tcPr/>
          <w:p>
            <w:pPr>
              <w:pStyle w:val="Compact"/>
            </w:pPr>
            <w:r>
              <w:t xml:space="preserve">Unexpected?</w:t>
            </w:r>
          </w:p>
        </w:tc>
      </w:tr>
      <w:tr>
        <w:tc>
          <w:tcPr/>
          <w:p>
            <w:pPr>
              <w:pStyle w:val="Compact"/>
            </w:pPr>
            <w:r>
              <w:t xml:space="preserve">ER reduces Cmax</w:t>
            </w:r>
          </w:p>
        </w:tc>
        <w:tc>
          <w:tcPr/>
          <w:p>
            <w:pPr>
              <w:pStyle w:val="Compact"/>
            </w:pPr>
            <w:r>
              <w:t xml:space="preserve">Yes</w:t>
            </w:r>
          </w:p>
        </w:tc>
        <w:tc>
          <w:tcPr/>
          <w:p>
            <w:pPr>
              <w:pStyle w:val="Compact"/>
            </w:pPr>
            <w:r>
              <w:rPr>
                <w:b/>
                <w:bCs/>
              </w:rPr>
              <w:t xml:space="preserve">NO</w:t>
            </w:r>
          </w:p>
        </w:tc>
      </w:tr>
      <w:tr>
        <w:tc>
          <w:tcPr/>
          <w:p>
            <w:pPr>
              <w:pStyle w:val="Compact"/>
            </w:pPr>
            <w:r>
              <w:t xml:space="preserve">Lower Cmax = fewer cardiac effects</w:t>
            </w:r>
          </w:p>
        </w:tc>
        <w:tc>
          <w:tcPr/>
          <w:p>
            <w:pPr>
              <w:pStyle w:val="Compact"/>
            </w:pPr>
            <w:r>
              <w:t xml:space="preserve">Yes</w:t>
            </w:r>
          </w:p>
        </w:tc>
        <w:tc>
          <w:tcPr/>
          <w:p>
            <w:pPr>
              <w:pStyle w:val="Compact"/>
            </w:pPr>
            <w:r>
              <w:rPr>
                <w:b/>
                <w:bCs/>
              </w:rPr>
              <w:t xml:space="preserve">NO</w:t>
            </w:r>
          </w:p>
        </w:tc>
      </w:tr>
      <w:tr>
        <w:tc>
          <w:tcPr/>
          <w:p>
            <w:pPr>
              <w:pStyle w:val="Compact"/>
            </w:pPr>
            <w:r>
              <w:t xml:space="preserve">Oral minoxidil grows hair</w:t>
            </w:r>
          </w:p>
        </w:tc>
        <w:tc>
          <w:tcPr/>
          <w:p>
            <w:pPr>
              <w:pStyle w:val="Compact"/>
            </w:pPr>
            <w:r>
              <w:t xml:space="preserve">Yes</w:t>
            </w:r>
          </w:p>
        </w:tc>
        <w:tc>
          <w:tcPr/>
          <w:p>
            <w:pPr>
              <w:pStyle w:val="Compact"/>
            </w:pPr>
            <w:r>
              <w:rPr>
                <w:b/>
                <w:bCs/>
              </w:rPr>
              <w:t xml:space="preserve">NO</w:t>
            </w:r>
          </w:p>
        </w:tc>
      </w:tr>
    </w:tbl>
    <w:bookmarkEnd w:id="50"/>
    <w:bookmarkStart w:id="51" w:name="e.-pk-parameters-are-inherent-properties"/>
    <w:p>
      <w:pPr>
        <w:pStyle w:val="Heading4"/>
      </w:pPr>
      <w:r>
        <w:t xml:space="preserve">E. PK Parameters Are Inherent Properties</w:t>
      </w:r>
    </w:p>
    <w:p>
      <w:pPr>
        <w:pStyle w:val="FirstParagraph"/>
      </w:pPr>
      <w:r>
        <w:t xml:space="preserve">Under</w:t>
      </w:r>
      <w:r>
        <w:t xml:space="preserve"> </w:t>
      </w:r>
      <w:r>
        <w:t xml:space="preserve">Persion v. Alvogen</w:t>
      </w:r>
      <w:r>
        <w:t xml:space="preserve">: "An obvious formulation cannot become nonobvious simply by administering it to a patient and claiming the resulting serum concentrations."</w:t>
      </w:r>
    </w:p>
    <w:bookmarkEnd w:id="51"/>
    <w:p>
      <w:pPr>
        <w:pStyle w:val="BodyText"/>
      </w:pPr>
      <w:r>
        <w:rPr>
          <w:b/>
          <w:bCs/>
        </w:rPr>
        <w:t xml:space="preserve">Key Cases:</w:t>
      </w:r>
    </w:p>
    <w:p>
      <w:pPr>
        <w:pStyle w:val="Compact"/>
        <w:numPr>
          <w:ilvl w:val="0"/>
          <w:numId w:val="1013"/>
        </w:numPr>
      </w:pPr>
      <w:r>
        <w:t xml:space="preserve">In re Aller</w:t>
      </w:r>
      <w:r>
        <w:t xml:space="preserve">, 220 F.2d 454 (CCPA 1955) - Optimization of known ranges is obvious</w:t>
      </w:r>
    </w:p>
    <w:p>
      <w:pPr>
        <w:pStyle w:val="Compact"/>
        <w:numPr>
          <w:ilvl w:val="0"/>
          <w:numId w:val="1013"/>
        </w:numPr>
      </w:pPr>
      <w:r>
        <w:t xml:space="preserve">Persion v. Alvogen</w:t>
      </w:r>
      <w:r>
        <w:t xml:space="preserve">, 945 F.3d 1184 (Fed. Cir. 2019) - Inherent PK cannot save obvious formulations</w:t>
      </w:r>
    </w:p>
    <w:p>
      <w:pPr>
        <w:pStyle w:val="Compact"/>
        <w:numPr>
          <w:ilvl w:val="0"/>
          <w:numId w:val="1013"/>
        </w:numPr>
      </w:pPr>
      <w:r>
        <w:t xml:space="preserve">Allergan v. Sandoz</w:t>
      </w:r>
      <w:r>
        <w:t xml:space="preserve">, 796 F.3d 1293 (Fed. Cir. 2015) - TRUE unexpected results require contradiction</w:t>
      </w:r>
    </w:p>
    <w:p>
      <w:r>
        <w:pict>
          <v:rect style="width:0;height:1.5pt" o:hralign="center" o:hrstd="t" o:hr="t"/>
        </w:pict>
      </w:r>
    </w:p>
    <w:bookmarkEnd w:id="52"/>
    <w:bookmarkStart w:id="59" w:name="arg7"/>
    <w:p>
      <w:pPr>
        <w:pStyle w:val="Heading2"/>
      </w:pPr>
      <w:r>
        <w:t xml:space="preserve">7. Counter: "KSR Obvious-to-Try Doesn't Apply"</w:t>
      </w:r>
    </w:p>
    <w:p>
      <w:pPr>
        <w:pStyle w:val="FirstParagraph"/>
      </w:pPr>
      <w:r>
        <w:t xml:space="preserve">STRONG COUNTER</w:t>
      </w:r>
    </w:p>
    <w:p>
      <w:pPr>
        <w:pStyle w:val="BodyText"/>
      </w:pPr>
      <w:r>
        <w:rPr>
          <w:b/>
          <w:bCs/>
        </w:rPr>
        <w:t xml:space="preserve">Veradermics argues:</w:t>
      </w:r>
      <w:r>
        <w:t xml:space="preserve"> </w:t>
      </w:r>
      <w:r>
        <w:t xml:space="preserve">"Under KSR, 'obvious to try' requires finite predictable solutions. ER minoxidil was NOT predictable because the therapeutic window was unknown, formulation variables were unpredictable, and success was not guaranteed."</w:t>
      </w:r>
    </w:p>
    <w:bookmarkStart w:id="53" w:name="Xd1c63cc3764b7813cbe6b8f80b3dc77e750af59"/>
    <w:p>
      <w:pPr>
        <w:pStyle w:val="Heading4"/>
      </w:pPr>
      <w:r>
        <w:t xml:space="preserve">Our Response: This IS the Quintessential "Obvious to Try" Case</w:t>
      </w:r>
    </w:p>
    <w:bookmarkEnd w:id="53"/>
    <w:bookmarkStart w:id="54" w:name="a.-finite-number-of-er-technologies"/>
    <w:p>
      <w:pPr>
        <w:pStyle w:val="Heading4"/>
      </w:pPr>
      <w:r>
        <w:t xml:space="preserve">A. Finite Number of ER Technologies</w:t>
      </w:r>
    </w:p>
    <w:p>
      <w:pPr>
        <w:pStyle w:val="FirstParagraph"/>
      </w:pPr>
      <w:r>
        <w:t xml:space="preserve">Under</w:t>
      </w:r>
      <w:r>
        <w:t xml:space="preserve"> </w:t>
      </w:r>
      <w:r>
        <w:t xml:space="preserve">KSR</w:t>
      </w:r>
      <w:r>
        <w:t xml:space="preserve">: "When there are a finite number of identified, predictable solutions, a person of ordinary skill has good reason to pursue the known options."</w:t>
      </w:r>
    </w:p>
    <w:p>
      <w:pPr>
        <w:pStyle w:val="BodyText"/>
      </w:pPr>
      <w:r>
        <w:t xml:space="preserve">There are approximately</w:t>
      </w:r>
      <w:r>
        <w:t xml:space="preserve"> </w:t>
      </w:r>
      <w:r>
        <w:rPr>
          <w:b/>
          <w:bCs/>
        </w:rPr>
        <w:t xml:space="preserve">5 major ER platforms</w:t>
      </w:r>
      <w:r>
        <w:t xml:space="preserve">:</w:t>
      </w:r>
    </w:p>
    <w:p>
      <w:pPr>
        <w:pStyle w:val="Compact"/>
        <w:numPr>
          <w:ilvl w:val="0"/>
          <w:numId w:val="1014"/>
        </w:numPr>
      </w:pPr>
      <w:r>
        <w:t xml:space="preserve">HPMC hydrophilic matrix</w:t>
      </w:r>
    </w:p>
    <w:p>
      <w:pPr>
        <w:pStyle w:val="Compact"/>
        <w:numPr>
          <w:ilvl w:val="0"/>
          <w:numId w:val="1014"/>
        </w:numPr>
      </w:pPr>
      <w:r>
        <w:t xml:space="preserve">Osmotic pump (OROS)</w:t>
      </w:r>
    </w:p>
    <w:p>
      <w:pPr>
        <w:pStyle w:val="Compact"/>
        <w:numPr>
          <w:ilvl w:val="0"/>
          <w:numId w:val="1014"/>
        </w:numPr>
      </w:pPr>
      <w:r>
        <w:t xml:space="preserve">Lipid/wax matrix</w:t>
      </w:r>
    </w:p>
    <w:p>
      <w:pPr>
        <w:pStyle w:val="Compact"/>
        <w:numPr>
          <w:ilvl w:val="0"/>
          <w:numId w:val="1014"/>
        </w:numPr>
      </w:pPr>
      <w:r>
        <w:t xml:space="preserve">Multi-particulate (coated pellets)</w:t>
      </w:r>
    </w:p>
    <w:p>
      <w:pPr>
        <w:pStyle w:val="Compact"/>
        <w:numPr>
          <w:ilvl w:val="0"/>
          <w:numId w:val="1014"/>
        </w:numPr>
      </w:pPr>
      <w:r>
        <w:t xml:space="preserve">Membrane-coated tablets</w:t>
      </w:r>
    </w:p>
    <w:p>
      <w:pPr>
        <w:pStyle w:val="FirstParagraph"/>
      </w:pPr>
      <w:r>
        <w:t xml:space="preserve">If</w:t>
      </w:r>
      <w:r>
        <w:t xml:space="preserve"> </w:t>
      </w:r>
      <w:r>
        <w:t xml:space="preserve">Pfizer v. Apotex</w:t>
      </w:r>
      <w:r>
        <w:t xml:space="preserve"> </w:t>
      </w:r>
      <w:r>
        <w:t xml:space="preserve">found 53 salt options "finite," then 5 ER platforms is certainly finite.</w:t>
      </w:r>
    </w:p>
    <w:bookmarkEnd w:id="54"/>
    <w:bookmarkStart w:id="55" w:name="b.-success-was-reasonably-predictable"/>
    <w:p>
      <w:pPr>
        <w:pStyle w:val="Heading4"/>
      </w:pPr>
      <w:r>
        <w:t xml:space="preserve">B. Success Was Reasonably Predictable</w:t>
      </w:r>
    </w:p>
    <w:p>
      <w:pPr>
        <w:pStyle w:val="Compact"/>
        <w:numPr>
          <w:ilvl w:val="0"/>
          <w:numId w:val="1015"/>
        </w:numPr>
      </w:pPr>
      <w:r>
        <w:t xml:space="preserve">Oral minoxidil was</w:t>
      </w:r>
      <w:r>
        <w:t xml:space="preserve"> </w:t>
      </w:r>
      <w:r>
        <w:rPr>
          <w:b/>
          <w:bCs/>
        </w:rPr>
        <w:t xml:space="preserve">already working</w:t>
      </w:r>
      <w:r>
        <w:t xml:space="preserve"> </w:t>
      </w:r>
      <w:r>
        <w:t xml:space="preserve">for hair loss (off-label)</w:t>
      </w:r>
    </w:p>
    <w:p>
      <w:pPr>
        <w:pStyle w:val="Compact"/>
        <w:numPr>
          <w:ilvl w:val="0"/>
          <w:numId w:val="1015"/>
        </w:numPr>
      </w:pPr>
      <w:r>
        <w:t xml:space="preserve">ER formulation</w:t>
      </w:r>
      <w:r>
        <w:t xml:space="preserve"> </w:t>
      </w:r>
      <w:r>
        <w:rPr>
          <w:b/>
          <w:bCs/>
        </w:rPr>
        <w:t xml:space="preserve">predictably reduces Cmax</w:t>
      </w:r>
    </w:p>
    <w:p>
      <w:pPr>
        <w:pStyle w:val="Compact"/>
        <w:numPr>
          <w:ilvl w:val="0"/>
          <w:numId w:val="1015"/>
        </w:numPr>
      </w:pPr>
      <w:r>
        <w:t xml:space="preserve">HPMC matrix behavior is</w:t>
      </w:r>
      <w:r>
        <w:t xml:space="preserve"> </w:t>
      </w:r>
      <w:r>
        <w:rPr>
          <w:b/>
          <w:bCs/>
        </w:rPr>
        <w:t xml:space="preserve">well-characterized with mathematical models</w:t>
      </w:r>
    </w:p>
    <w:bookmarkEnd w:id="55"/>
    <w:bookmarkStart w:id="56" w:name="X79a8699f7349c38fbd044633368b86a2de71af1"/>
    <w:p>
      <w:pPr>
        <w:pStyle w:val="Heading4"/>
      </w:pPr>
      <w:r>
        <w:t xml:space="preserve">C. Formulation Variables Are Routine Optimization</w:t>
      </w:r>
    </w:p>
    <w:p>
      <w:pPr>
        <w:pStyle w:val="FirstParagraph"/>
      </w:pPr>
      <w:r>
        <w:t xml:space="preserve">Under</w:t>
      </w:r>
      <w:r>
        <w:t xml:space="preserve"> </w:t>
      </w:r>
      <w:r>
        <w:t xml:space="preserve">In re Aller</w:t>
      </w:r>
      <w:r>
        <w:t xml:space="preserve">, selecting HPMC grade (K4M vs K200M) and polymer percentage are classic "result-effective variables" - routine optimization, not invention.</w:t>
      </w:r>
    </w:p>
    <w:bookmarkEnd w:id="56"/>
    <w:bookmarkStart w:id="57" w:name="d.-common-sense-applies-post-ksr"/>
    <w:p>
      <w:pPr>
        <w:pStyle w:val="Heading4"/>
      </w:pPr>
      <w:r>
        <w:t xml:space="preserve">D. Common Sense Applies Post-KSR</w:t>
      </w:r>
    </w:p>
    <w:p>
      <w:pPr>
        <w:pStyle w:val="FirstParagraph"/>
      </w:pPr>
      <w:r>
        <w:t xml:space="preserve">KSR: "A person of ordinary skill is also a person of ordinary creativity."</w:t>
      </w:r>
    </w:p>
    <w:p>
      <w:pPr>
        <w:pStyle w:val="BodyText"/>
      </w:pPr>
      <w:r>
        <w:t xml:space="preserve">A POSA facing "how do we make oral minoxidil safer?" would logically think: reduce Cmax → use ER technology → select HPMC (industry standard). This is common sense, not innovation.</w:t>
      </w:r>
    </w:p>
    <w:bookmarkEnd w:id="57"/>
    <w:bookmarkStart w:id="58" w:name="e.-clinical-proof-exceeds-hope"/>
    <w:p>
      <w:pPr>
        <w:pStyle w:val="Heading4"/>
      </w:pPr>
      <w:r>
        <w:t xml:space="preserve">E. Clinical Proof Exceeds "Hope"</w:t>
      </w:r>
    </w:p>
    <w:p>
      <w:pPr>
        <w:pStyle w:val="FirstParagraph"/>
      </w:pPr>
      <w:r>
        <w:t xml:space="preserve">Veradermics had MORE than hope - they had clinical evidence from 1,404+ patients treated with off-label oral minoxidil. The "experiment" was merely confirmation of expected results.</w:t>
      </w:r>
    </w:p>
    <w:bookmarkEnd w:id="58"/>
    <w:p>
      <w:pPr>
        <w:pStyle w:val="BodyText"/>
      </w:pPr>
      <w:r>
        <w:rPr>
          <w:b/>
          <w:bCs/>
        </w:rPr>
        <w:t xml:space="preserve">Key Cases:</w:t>
      </w:r>
    </w:p>
    <w:p>
      <w:pPr>
        <w:pStyle w:val="Compact"/>
        <w:numPr>
          <w:ilvl w:val="0"/>
          <w:numId w:val="1016"/>
        </w:numPr>
      </w:pPr>
      <w:r>
        <w:t xml:space="preserve">KSR v. Teleflex</w:t>
      </w:r>
      <w:r>
        <w:t xml:space="preserve">, 550 U.S. 398 (2007) - Finite predictable solutions = obvious to try</w:t>
      </w:r>
    </w:p>
    <w:p>
      <w:pPr>
        <w:pStyle w:val="Compact"/>
        <w:numPr>
          <w:ilvl w:val="0"/>
          <w:numId w:val="1016"/>
        </w:numPr>
      </w:pPr>
      <w:r>
        <w:t xml:space="preserve">Pfizer v. Apotex</w:t>
      </w:r>
      <w:r>
        <w:t xml:space="preserve">, 480 F.3d 1348 (Fed. Cir. 2007) - 53 options was "finite"</w:t>
      </w:r>
    </w:p>
    <w:p>
      <w:pPr>
        <w:pStyle w:val="Compact"/>
        <w:numPr>
          <w:ilvl w:val="0"/>
          <w:numId w:val="1016"/>
        </w:numPr>
      </w:pPr>
      <w:r>
        <w:t xml:space="preserve">In re Kubin</w:t>
      </w:r>
      <w:r>
        <w:t xml:space="preserve">, 561 F.3d 1351 (Fed. Cir. 2009) - Obvious to try applies even in complex fields</w:t>
      </w:r>
    </w:p>
    <w:p>
      <w:pPr>
        <w:pStyle w:val="Compact"/>
        <w:numPr>
          <w:ilvl w:val="0"/>
          <w:numId w:val="1016"/>
        </w:numPr>
      </w:pPr>
      <w:r>
        <w:t xml:space="preserve">Alza v. Mylan</w:t>
      </w:r>
      <w:r>
        <w:t xml:space="preserve">, 464 F.3d 1286 (Fed. Cir. 2006) - ER formulation found obvious</w:t>
      </w:r>
    </w:p>
    <w:p>
      <w:r>
        <w:pict>
          <v:rect style="width:0;height:1.5pt" o:hralign="center" o:hrstd="t" o:hr="t"/>
        </w:pict>
      </w:r>
    </w:p>
    <w:bookmarkEnd w:id="59"/>
    <w:bookmarkStart w:id="60" w:name="summary-argument-strength-assessment"/>
    <w:p>
      <w:pPr>
        <w:pStyle w:val="Heading2"/>
      </w:pPr>
      <w:r>
        <w:t xml:space="preserve">Summary: Argument Strength Assessment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Veradermics Argument</w:t>
            </w:r>
          </w:p>
        </w:tc>
        <w:tc>
          <w:tcPr/>
          <w:p>
            <w:pPr>
              <w:pStyle w:val="Compact"/>
            </w:pPr>
            <w:r>
              <w:t xml:space="preserve">Our Counter Strength</w:t>
            </w:r>
          </w:p>
        </w:tc>
        <w:tc>
          <w:tcPr/>
          <w:p>
            <w:pPr>
              <w:pStyle w:val="Compact"/>
            </w:pPr>
            <w:r>
              <w:t xml:space="preserve">Lead With?</w:t>
            </w:r>
          </w:p>
        </w:tc>
      </w:tr>
      <w:tr>
        <w:tc>
          <w:tcPr/>
          <w:p>
            <w:pPr>
              <w:pStyle w:val="Compact"/>
            </w:pPr>
            <w:r>
              <w:t xml:space="preserve">"Modified release excludes IR"</w:t>
            </w:r>
          </w:p>
        </w:tc>
        <w:tc>
          <w:tcPr/>
          <w:p>
            <w:pPr>
              <w:pStyle w:val="Compact"/>
            </w:pPr>
            <w:r>
              <w:t xml:space="preserve">STRONG</w:t>
            </w:r>
          </w:p>
        </w:tc>
        <w:tc>
          <w:tcPr/>
          <w:p>
            <w:pPr>
              <w:pStyle w:val="Compact"/>
            </w:pPr>
            <w:r>
              <w:t xml:space="preserve">Yes - inherency + claim scope dilemma</w:t>
            </w:r>
          </w:p>
        </w:tc>
      </w:tr>
      <w:tr>
        <w:tc>
          <w:tcPr/>
          <w:p>
            <w:pPr>
              <w:pStyle w:val="Compact"/>
            </w:pPr>
            <w:r>
              <w:t xml:space="preserve">"No reasonable expectation of success"</w:t>
            </w:r>
          </w:p>
        </w:tc>
        <w:tc>
          <w:tcPr/>
          <w:p>
            <w:pPr>
              <w:pStyle w:val="Compact"/>
            </w:pPr>
            <w:r>
              <w:t xml:space="preserve">STRONG</w:t>
            </w:r>
          </w:p>
        </w:tc>
        <w:tc>
          <w:tcPr/>
          <w:p>
            <w:pPr>
              <w:pStyle w:val="Compact"/>
            </w:pPr>
            <w:r>
              <w:t xml:space="preserve">Yes - 1,404 patients proves success was known</w:t>
            </w:r>
          </w:p>
        </w:tc>
      </w:tr>
      <w:tr>
        <w:tc>
          <w:tcPr/>
          <w:p>
            <w:pPr>
              <w:pStyle w:val="Compact"/>
            </w:pPr>
            <w:r>
              <w:t xml:space="preserve">"Prior art taught away"</w:t>
            </w:r>
          </w:p>
        </w:tc>
        <w:tc>
          <w:tcPr/>
          <w:p>
            <w:pPr>
              <w:pStyle w:val="Compact"/>
            </w:pPr>
            <w:r>
              <w:t xml:space="preserve">STRONG</w:t>
            </w:r>
          </w:p>
        </w:tc>
        <w:tc>
          <w:tcPr/>
          <w:p>
            <w:pPr>
              <w:pStyle w:val="Compact"/>
            </w:pPr>
            <w:r>
              <w:t xml:space="preserve">Yes - widespread clinical adoption refutes</w:t>
            </w:r>
          </w:p>
        </w:tc>
      </w:tr>
      <w:tr>
        <w:tc>
          <w:tcPr/>
          <w:p>
            <w:pPr>
              <w:pStyle w:val="Compact"/>
            </w:pPr>
            <w:r>
              <w:t xml:space="preserve">"Secondary considerations"</w:t>
            </w:r>
          </w:p>
        </w:tc>
        <w:tc>
          <w:tcPr/>
          <w:p>
            <w:pPr>
              <w:pStyle w:val="Compact"/>
            </w:pPr>
            <w:r>
              <w:t xml:space="preserve">STRONG</w:t>
            </w:r>
          </w:p>
        </w:tc>
        <w:tc>
          <w:tcPr/>
          <w:p>
            <w:pPr>
              <w:pStyle w:val="Compact"/>
            </w:pPr>
            <w:r>
              <w:t xml:space="preserve">Yes - no nexus to claimed features</w:t>
            </w:r>
          </w:p>
        </w:tc>
      </w:tr>
      <w:tr>
        <w:tc>
          <w:tcPr/>
          <w:p>
            <w:pPr>
              <w:pStyle w:val="Compact"/>
            </w:pPr>
            <w:r>
              <w:t xml:space="preserve">"Doctrine of equivalents (lipid)"</w:t>
            </w:r>
          </w:p>
        </w:tc>
        <w:tc>
          <w:tcPr/>
          <w:p>
            <w:pPr>
              <w:pStyle w:val="Compact"/>
            </w:pPr>
            <w:r>
              <w:t xml:space="preserve">STRONG</w:t>
            </w:r>
          </w:p>
        </w:tc>
        <w:tc>
          <w:tcPr/>
          <w:p>
            <w:pPr>
              <w:pStyle w:val="Compact"/>
            </w:pPr>
            <w:r>
              <w:t xml:space="preserve">Yes for FTO - 7 independent defenses</w:t>
            </w:r>
          </w:p>
        </w:tc>
      </w:tr>
      <w:tr>
        <w:tc>
          <w:tcPr/>
          <w:p>
            <w:pPr>
              <w:pStyle w:val="Compact"/>
            </w:pPr>
            <w:r>
              <w:t xml:space="preserve">"Unexpected results"</w:t>
            </w:r>
          </w:p>
        </w:tc>
        <w:tc>
          <w:tcPr/>
          <w:p>
            <w:pPr>
              <w:pStyle w:val="Compact"/>
            </w:pPr>
            <w:r>
              <w:t xml:space="preserve">STRONG</w:t>
            </w:r>
          </w:p>
        </w:tc>
        <w:tc>
          <w:tcPr/>
          <w:p>
            <w:pPr>
              <w:pStyle w:val="Compact"/>
            </w:pPr>
            <w:r>
              <w:t xml:space="preserve">Yes - no results contradicted expectations</w:t>
            </w:r>
          </w:p>
        </w:tc>
      </w:tr>
      <w:tr>
        <w:tc>
          <w:tcPr/>
          <w:p>
            <w:pPr>
              <w:pStyle w:val="Compact"/>
            </w:pPr>
            <w:r>
              <w:t xml:space="preserve">"KSR doesn't apply"</w:t>
            </w:r>
          </w:p>
        </w:tc>
        <w:tc>
          <w:tcPr/>
          <w:p>
            <w:pPr>
              <w:pStyle w:val="Compact"/>
            </w:pPr>
            <w:r>
              <w:t xml:space="preserve">STRONG</w:t>
            </w:r>
          </w:p>
        </w:tc>
        <w:tc>
          <w:tcPr/>
          <w:p>
            <w:pPr>
              <w:pStyle w:val="Compact"/>
            </w:pPr>
            <w:r>
              <w:t xml:space="preserve">Yes - finite solutions, clinical proof</w:t>
            </w:r>
          </w:p>
        </w:tc>
      </w:tr>
    </w:tbl>
    <w:p>
      <w:pPr>
        <w:pStyle w:val="BodyText"/>
      </w:pPr>
      <w:r>
        <w:t xml:space="preserve">OVERALL ASSESSMENT: We have strong counter-arguments to every major Veradermics defense.</w:t>
      </w:r>
      <w:r>
        <w:br/>
      </w:r>
      <w:r>
        <w:rPr>
          <w:b/>
          <w:bCs/>
        </w:rPr>
        <w:t xml:space="preserve">Recommended Strategy:</w:t>
      </w:r>
      <w:r>
        <w:t xml:space="preserve"> </w:t>
      </w:r>
      <w:r>
        <w:t xml:space="preserve">Lead IPR with obviousness (103), supported by inherent anticipation (102).</w:t>
      </w:r>
      <w:r>
        <w:br/>
      </w:r>
      <w:r>
        <w:t xml:space="preserve">For lipid matrix FTO, emphasize mechanistic differences and prepare expert testimony.</w:t>
      </w:r>
    </w:p>
    <w:p>
      <w:r>
        <w:pict>
          <v:rect style="width:0;height:1.5pt" o:hralign="center" o:hrstd="t" o:hr="t"/>
        </w:pict>
      </w:r>
    </w:p>
    <w:bookmarkEnd w:id="60"/>
    <w:bookmarkStart w:id="63" w:name="appendix-key-prior-art-evidence"/>
    <w:p>
      <w:pPr>
        <w:pStyle w:val="Heading2"/>
      </w:pPr>
      <w:r>
        <w:t xml:space="preserve">Appendix: Key Prior Art Evidence</w:t>
      </w:r>
    </w:p>
    <w:bookmarkStart w:id="61" w:name="clinical-studies-all-pre-october-2022"/>
    <w:p>
      <w:pPr>
        <w:pStyle w:val="Heading3"/>
      </w:pPr>
      <w:r>
        <w:t xml:space="preserve">Clinical Studies (All Pre-October 2022)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Study</w:t>
            </w:r>
          </w:p>
        </w:tc>
        <w:tc>
          <w:tcPr/>
          <w:p>
            <w:pPr>
              <w:pStyle w:val="Compact"/>
            </w:pPr>
            <w:r>
              <w:t xml:space="preserve">Patients</w:t>
            </w:r>
          </w:p>
        </w:tc>
        <w:tc>
          <w:tcPr/>
          <w:p>
            <w:pPr>
              <w:pStyle w:val="Compact"/>
            </w:pPr>
            <w:r>
              <w:t xml:space="preserve">Key Finding</w:t>
            </w:r>
          </w:p>
        </w:tc>
      </w:tr>
      <w:tr>
        <w:tc>
          <w:tcPr/>
          <w:p>
            <w:pPr>
              <w:pStyle w:val="Compact"/>
            </w:pPr>
            <w:r>
              <w:t xml:space="preserve">Vano-Galvan 2021 (JAAD)</w:t>
            </w:r>
          </w:p>
        </w:tc>
        <w:tc>
          <w:tcPr/>
          <w:p>
            <w:pPr>
              <w:pStyle w:val="Compact"/>
            </w:pPr>
            <w:r>
              <w:t xml:space="preserve">1,404</w:t>
            </w:r>
          </w:p>
        </w:tc>
        <w:tc>
          <w:tcPr/>
          <w:p>
            <w:pPr>
              <w:pStyle w:val="Compact"/>
            </w:pPr>
            <w:r>
              <w:t xml:space="preserve">98.3% continued; "JAAD Game Changer"</w:t>
            </w:r>
          </w:p>
        </w:tc>
      </w:tr>
      <w:tr>
        <w:tc>
          <w:tcPr/>
          <w:p>
            <w:pPr>
              <w:pStyle w:val="Compact"/>
            </w:pPr>
            <w:r>
              <w:t xml:space="preserve">Jimenez-Cauhe 2020</w:t>
            </w:r>
          </w:p>
        </w:tc>
        <w:tc>
          <w:tcPr/>
          <w:p>
            <w:pPr>
              <w:pStyle w:val="Compact"/>
            </w:pPr>
            <w:r>
              <w:t xml:space="preserve">442</w:t>
            </w:r>
          </w:p>
        </w:tc>
        <w:tc>
          <w:tcPr/>
          <w:p>
            <w:pPr>
              <w:pStyle w:val="Compact"/>
            </w:pPr>
            <w:r>
              <w:t xml:space="preserve">70-100% response rates</w:t>
            </w:r>
          </w:p>
        </w:tc>
      </w:tr>
      <w:tr>
        <w:tc>
          <w:tcPr/>
          <w:p>
            <w:pPr>
              <w:pStyle w:val="Compact"/>
            </w:pPr>
            <w:r>
              <w:t xml:space="preserve">Randolph &amp; Tosti 2021</w:t>
            </w:r>
          </w:p>
        </w:tc>
        <w:tc>
          <w:tcPr/>
          <w:p>
            <w:pPr>
              <w:pStyle w:val="Compact"/>
            </w:pPr>
            <w:r>
              <w:t xml:space="preserve">634 (review)</w:t>
            </w:r>
          </w:p>
        </w:tc>
        <w:tc>
          <w:tcPr/>
          <w:p>
            <w:pPr>
              <w:pStyle w:val="Compact"/>
            </w:pPr>
            <w:r>
              <w:t xml:space="preserve">"Effective and well-tolerated"</w:t>
            </w:r>
          </w:p>
        </w:tc>
      </w:tr>
      <w:tr>
        <w:tc>
          <w:tcPr/>
          <w:p>
            <w:pPr>
              <w:pStyle w:val="Compact"/>
            </w:pPr>
            <w:r>
              <w:t xml:space="preserve">Sinclair 2018</w:t>
            </w:r>
          </w:p>
        </w:tc>
        <w:tc>
          <w:tcPr/>
          <w:p>
            <w:pPr>
              <w:pStyle w:val="Compact"/>
            </w:pPr>
            <w:r>
              <w:t xml:space="preserve">100</w:t>
            </w:r>
          </w:p>
        </w:tc>
        <w:tc>
          <w:tcPr/>
          <w:p>
            <w:pPr>
              <w:pStyle w:val="Compact"/>
            </w:pPr>
            <w:r>
              <w:t xml:space="preserve">"Safe and effective" at 0.25mg</w:t>
            </w:r>
          </w:p>
        </w:tc>
      </w:tr>
      <w:tr>
        <w:tc>
          <w:tcPr/>
          <w:p>
            <w:pPr>
              <w:pStyle w:val="Compact"/>
            </w:pPr>
            <w:r>
              <w:t xml:space="preserve">Fleishaker 1989</w:t>
            </w:r>
          </w:p>
        </w:tc>
        <w:tc>
          <w:tcPr/>
          <w:p>
            <w:pPr>
              <w:pStyle w:val="Compact"/>
            </w:pPr>
            <w:r>
              <w:t xml:space="preserve">PK study</w:t>
            </w:r>
          </w:p>
        </w:tc>
        <w:tc>
          <w:tcPr/>
          <w:p>
            <w:pPr>
              <w:pStyle w:val="Compact"/>
            </w:pPr>
            <w:r>
              <w:t xml:space="preserve">Cmax 16.8 ng/mL, Tmax 60 min at 2.5mg</w:t>
            </w:r>
          </w:p>
        </w:tc>
      </w:tr>
    </w:tbl>
    <w:bookmarkEnd w:id="61"/>
    <w:bookmarkStart w:id="62" w:name="key-case-law-summary"/>
    <w:p>
      <w:pPr>
        <w:pStyle w:val="Heading3"/>
      </w:pPr>
      <w:r>
        <w:t xml:space="preserve">Key Case Law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Case</w:t>
            </w:r>
          </w:p>
        </w:tc>
        <w:tc>
          <w:tcPr/>
          <w:p>
            <w:pPr>
              <w:pStyle w:val="Compact"/>
            </w:pPr>
            <w:r>
              <w:t xml:space="preserve">Principle</w:t>
            </w:r>
          </w:p>
        </w:tc>
      </w:tr>
      <w:tr>
        <w:tc>
          <w:tcPr/>
          <w:p>
            <w:pPr>
              <w:pStyle w:val="Compact"/>
            </w:pPr>
            <w:r>
              <w:t xml:space="preserve">KSR v. Teleflex (2007)</w:t>
            </w:r>
          </w:p>
        </w:tc>
        <w:tc>
          <w:tcPr/>
          <w:p>
            <w:pPr>
              <w:pStyle w:val="Compact"/>
            </w:pPr>
            <w:r>
              <w:t xml:space="preserve">Finite predictable solutions = obvious to try</w:t>
            </w:r>
          </w:p>
        </w:tc>
      </w:tr>
      <w:tr>
        <w:tc>
          <w:tcPr/>
          <w:p>
            <w:pPr>
              <w:pStyle w:val="Compact"/>
            </w:pPr>
            <w:r>
              <w:t xml:space="preserve">In re Aller (1955)</w:t>
            </w:r>
          </w:p>
        </w:tc>
        <w:tc>
          <w:tcPr/>
          <w:p>
            <w:pPr>
              <w:pStyle w:val="Compact"/>
            </w:pPr>
            <w:r>
              <w:t xml:space="preserve">Optimization of known ranges is obvious</w:t>
            </w:r>
          </w:p>
        </w:tc>
      </w:tr>
      <w:tr>
        <w:tc>
          <w:tcPr/>
          <w:p>
            <w:pPr>
              <w:pStyle w:val="Compact"/>
            </w:pPr>
            <w:r>
              <w:t xml:space="preserve">Persion v. Alvogen (2019)</w:t>
            </w:r>
          </w:p>
        </w:tc>
        <w:tc>
          <w:tcPr/>
          <w:p>
            <w:pPr>
              <w:pStyle w:val="Compact"/>
            </w:pPr>
            <w:r>
              <w:t xml:space="preserve">Inherent PK cannot save obvious formulations</w:t>
            </w:r>
          </w:p>
        </w:tc>
      </w:tr>
      <w:tr>
        <w:tc>
          <w:tcPr/>
          <w:p>
            <w:pPr>
              <w:pStyle w:val="Compact"/>
            </w:pPr>
            <w:r>
              <w:t xml:space="preserve">Schering v. Geneva (2003)</w:t>
            </w:r>
          </w:p>
        </w:tc>
        <w:tc>
          <w:tcPr/>
          <w:p>
            <w:pPr>
              <w:pStyle w:val="Compact"/>
            </w:pPr>
            <w:r>
              <w:t xml:space="preserve">Inherent properties anticipate claims</w:t>
            </w:r>
          </w:p>
        </w:tc>
      </w:tr>
      <w:tr>
        <w:tc>
          <w:tcPr/>
          <w:p>
            <w:pPr>
              <w:pStyle w:val="Compact"/>
            </w:pPr>
            <w:r>
              <w:t xml:space="preserve">Festo v. Shoketsu (2002)</w:t>
            </w:r>
          </w:p>
        </w:tc>
        <w:tc>
          <w:tcPr/>
          <w:p>
            <w:pPr>
              <w:pStyle w:val="Compact"/>
            </w:pPr>
            <w:r>
              <w:t xml:space="preserve">Prosecution history estoppel</w:t>
            </w:r>
          </w:p>
        </w:tc>
      </w:tr>
      <w:tr>
        <w:tc>
          <w:tcPr/>
          <w:p>
            <w:pPr>
              <w:pStyle w:val="Compact"/>
            </w:pPr>
            <w:r>
              <w:t xml:space="preserve">Wilson Sporting Goods (1990)</w:t>
            </w:r>
          </w:p>
        </w:tc>
        <w:tc>
          <w:tcPr/>
          <w:p>
            <w:pPr>
              <w:pStyle w:val="Compact"/>
            </w:pPr>
            <w:r>
              <w:t xml:space="preserve">Prior art limits equivalents</w:t>
            </w:r>
          </w:p>
        </w:tc>
      </w:tr>
    </w:tbl>
    <w:p>
      <w:r>
        <w:pict>
          <v:rect style="width:0;height:1.5pt" o:hralign="center" o:hrstd="t" o:hr="t"/>
        </w:pict>
      </w:r>
    </w:p>
    <w:p>
      <w:pPr>
        <w:pStyle w:val="FirstParagraph"/>
      </w:pPr>
      <w:r>
        <w:t xml:space="preserve">This document consolidates research from seven specialized legal research agents.</w:t>
      </w:r>
      <w:r>
        <w:br/>
      </w:r>
      <w:r>
        <w:t xml:space="preserve">All case citations verified against Federal Circuit precedent.</w:t>
      </w:r>
      <w:r>
        <w:br/>
      </w:r>
      <w:r>
        <w:t xml:space="preserve">For use in IPR preparation and litigation strategy.</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Counter-Arguments Brief - Veradermics Patent Challenge</dc:title>
  <dc:creator/>
  <dc:language>en</dc:language>
  <cp:keywords/>
  <dcterms:created xsi:type="dcterms:W3CDTF">2026-02-05T15:29:14Z</dcterms:created>
  <dcterms:modified xsi:type="dcterms:W3CDTF">2026-02-05T15:29:14Z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