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Veradermics Patent Steelman Analysis - Know Your Enemy</w:t>
      </w:r>
    </w:p>
    <w:bookmarkStart w:id="39" w:name="veradermics-patent-steelman-analysis"/>
    <w:p>
      <w:pPr>
        <w:pStyle w:val="Heading1"/>
      </w:pPr>
      <w:r>
        <w:t xml:space="preserve">Veradermics Patent Steelman Analysis</w:t>
      </w:r>
    </w:p>
    <w:p>
      <w:pPr>
        <w:pStyle w:val="FirstParagraph"/>
      </w:pPr>
      <w:r>
        <w:rPr>
          <w:b/>
          <w:bCs/>
        </w:rPr>
        <w:t xml:space="preserve">Purpose:</w:t>
      </w:r>
      <w:r>
        <w:t xml:space="preserve"> </w:t>
      </w:r>
      <w:r>
        <w:t xml:space="preserve">Know your enemy. This document presents the STRONGEST possible arguments Veradermics could make to defend their patent and attack our lipid matrix approach.</w:t>
      </w:r>
    </w:p>
    <w:p>
      <w:pPr>
        <w:pStyle w:val="BodyText"/>
      </w:pPr>
      <w:r>
        <w:rPr>
          <w:b/>
          <w:bCs/>
        </w:rPr>
        <w:t xml:space="preserve">Date:</w:t>
      </w:r>
      <w:r>
        <w:t xml:space="preserve"> </w:t>
      </w:r>
      <w:r>
        <w:t xml:space="preserve">February 5, 2026</w:t>
      </w:r>
    </w:p>
    <w:p>
      <w:pPr>
        <w:pStyle w:val="BodyText"/>
      </w:pPr>
      <w:r>
        <w:rPr>
          <w:b/>
          <w:bCs/>
        </w:rPr>
        <w:t xml:space="preserve">Classification:</w:t>
      </w:r>
      <w:r>
        <w:t xml:space="preserve"> </w:t>
      </w:r>
      <w:r>
        <w:t xml:space="preserve">Internal Strategy Document</w:t>
      </w:r>
    </w:p>
    <w:bookmarkStart w:id="9" w:name="adversarial-analysis"/>
    <w:p>
      <w:pPr>
        <w:pStyle w:val="Heading2"/>
      </w:pPr>
      <w:r>
        <w:t xml:space="preserve">ADVERSARIAL ANALYSIS</w:t>
      </w:r>
    </w:p>
    <w:p>
      <w:pPr>
        <w:pStyle w:val="FirstParagraph"/>
      </w:pPr>
      <w:r>
        <w:t xml:space="preserve">This document intentionally argues Veradermics' position as strongly as possible.</w:t>
      </w:r>
      <w:r>
        <w:br/>
      </w:r>
      <w:r>
        <w:t xml:space="preserve">Understanding their best arguments helps us prepare robust counter-strategies.</w:t>
      </w:r>
    </w:p>
    <w:bookmarkEnd w:id="9"/>
    <w:bookmarkStart w:id="10" w:name="table-of-contents"/>
    <w:p>
      <w:pPr>
        <w:pStyle w:val="Heading3"/>
      </w:pPr>
      <w:r>
        <w:t xml:space="preserve">Table of Contents</w:t>
      </w:r>
    </w:p>
    <w:p>
      <w:pPr>
        <w:pStyle w:val="Compact"/>
        <w:numPr>
          <w:ilvl w:val="0"/>
          <w:numId w:val="1001"/>
        </w:numPr>
      </w:pPr>
      <w:hyperlink w:anchor="validity">
        <w:r>
          <w:rPr>
            <w:rStyle w:val="Hyperlink"/>
          </w:rPr>
          <w:t xml:space="preserve">1. Patent Validity Arguments (Why Their Patent Might Survive IPR)</w:t>
        </w:r>
      </w:hyperlink>
    </w:p>
    <w:p>
      <w:pPr>
        <w:pStyle w:val="Compact"/>
        <w:numPr>
          <w:ilvl w:val="0"/>
          <w:numId w:val="1001"/>
        </w:numPr>
      </w:pPr>
      <w:hyperlink w:anchor="infringement">
        <w:r>
          <w:rPr>
            <w:rStyle w:val="Hyperlink"/>
          </w:rPr>
          <w:t xml:space="preserve">2. Infringement Arguments (Why Lipid Matrix Might Still Infringe)</w:t>
        </w:r>
      </w:hyperlink>
    </w:p>
    <w:p>
      <w:pPr>
        <w:pStyle w:val="Compact"/>
        <w:numPr>
          <w:ilvl w:val="0"/>
          <w:numId w:val="1001"/>
        </w:numPr>
      </w:pPr>
      <w:hyperlink w:anchor="unexpected">
        <w:r>
          <w:rPr>
            <w:rStyle w:val="Hyperlink"/>
          </w:rPr>
          <w:t xml:space="preserve">3. Unexpected Results Arguments (Non-Obviousness)</w:t>
        </w:r>
      </w:hyperlink>
    </w:p>
    <w:p>
      <w:pPr>
        <w:pStyle w:val="Compact"/>
        <w:numPr>
          <w:ilvl w:val="0"/>
          <w:numId w:val="1001"/>
        </w:numPr>
      </w:pPr>
      <w:hyperlink w:anchor="case-law">
        <w:r>
          <w:rPr>
            <w:rStyle w:val="Hyperlink"/>
          </w:rPr>
          <w:t xml:space="preserve">4. Supporting Case Law They Would Cite</w:t>
        </w:r>
      </w:hyperlink>
    </w:p>
    <w:p>
      <w:pPr>
        <w:pStyle w:val="Compact"/>
        <w:numPr>
          <w:ilvl w:val="0"/>
          <w:numId w:val="1001"/>
        </w:numPr>
      </w:pPr>
      <w:hyperlink w:anchor="sinclair">
        <w:r>
          <w:rPr>
            <w:rStyle w:val="Hyperlink"/>
          </w:rPr>
          <w:t xml:space="preserve">5. Sinclair Patent Analysis (US10226462B2)</w:t>
        </w:r>
      </w:hyperlink>
    </w:p>
    <w:p>
      <w:pPr>
        <w:pStyle w:val="Compact"/>
        <w:numPr>
          <w:ilvl w:val="0"/>
          <w:numId w:val="1001"/>
        </w:numPr>
      </w:pPr>
      <w:hyperlink w:anchor="counters">
        <w:r>
          <w:rPr>
            <w:rStyle w:val="Hyperlink"/>
          </w:rPr>
          <w:t xml:space="preserve">6. Our Counter-Arguments</w:t>
        </w:r>
      </w:hyperlink>
    </w:p>
    <w:p>
      <w:pPr>
        <w:pStyle w:val="Compact"/>
        <w:numPr>
          <w:ilvl w:val="0"/>
          <w:numId w:val="1001"/>
        </w:numPr>
      </w:pPr>
      <w:hyperlink w:anchor="verdict">
        <w:r>
          <w:rPr>
            <w:rStyle w:val="Hyperlink"/>
          </w:rPr>
          <w:t xml:space="preserve">7. Overall Risk Assessment</w:t>
        </w:r>
      </w:hyperlink>
    </w:p>
    <w:bookmarkEnd w:id="10"/>
    <w:bookmarkStart w:id="16" w:name="validity"/>
    <w:p>
      <w:pPr>
        <w:pStyle w:val="Heading2"/>
      </w:pPr>
      <w:r>
        <w:t xml:space="preserve">1. Patent Validity Arguments</w:t>
      </w:r>
    </w:p>
    <w:p>
      <w:pPr>
        <w:pStyle w:val="FirstParagraph"/>
      </w:pPr>
      <w:r>
        <w:rPr>
          <w:i/>
          <w:iCs/>
        </w:rPr>
        <w:t xml:space="preserve">The strongest arguments Veradermics could make that their patent IS VALID:</w:t>
      </w:r>
    </w:p>
    <w:bookmarkStart w:id="11" w:name="X75ed01814490509b5a6cc473128d0b20130b582"/>
    <w:p>
      <w:pPr>
        <w:pStyle w:val="Heading3"/>
      </w:pPr>
      <w:r>
        <w:t xml:space="preserve">Argument 1: "Modified Release" Excludes IR - Claims Not Anticipated</w:t>
      </w:r>
    </w:p>
    <w:p>
      <w:pPr>
        <w:pStyle w:val="FirstParagraph"/>
      </w:pPr>
      <w:r>
        <w:rPr>
          <w:b/>
          <w:bCs/>
        </w:rPr>
        <w:t xml:space="preserve">Veradermics would argue:</w:t>
      </w:r>
      <w:r>
        <w:t xml:space="preserve"> </w:t>
      </w:r>
      <w:r>
        <w:t xml:space="preserve">The independent claims explicitly require "a modified release pharmaceutical formulation." Immediate-release minoxidil tablets (Loniten) are, by definition, NOT modified release formulations. A prior art reference achieving certain PK parameters through an ENTIRELY DIFFERENT MECHANISM (immediate dissolution vs. controlled release) does not anticipate claims requiring a specific formulation type.</w:t>
      </w:r>
    </w:p>
    <w:p>
      <w:pPr>
        <w:pStyle w:val="BodyText"/>
      </w:pPr>
      <w:r>
        <w:rPr>
          <w:b/>
          <w:bCs/>
        </w:rPr>
        <w:t xml:space="preserve">Case support:</w:t>
      </w:r>
      <w:r>
        <w:t xml:space="preserve"> </w:t>
      </w:r>
      <w:r>
        <w:t xml:space="preserve">MPEP 2131</w:t>
      </w:r>
      <w:r>
        <w:t xml:space="preserve"> </w:t>
      </w:r>
      <w:r>
        <w:t xml:space="preserve">- anticipation requires every element disclosed in a single prior art reference. IR minoxidil lacks the "modified release formulation" structural element entirely.</w:t>
      </w:r>
    </w:p>
    <w:bookmarkEnd w:id="11"/>
    <w:bookmarkStart w:id="12" w:name="Xe929215a51fe1d06a2e91c87bbcefe8d665c88a"/>
    <w:p>
      <w:pPr>
        <w:pStyle w:val="Heading3"/>
      </w:pPr>
      <w:r>
        <w:t xml:space="preserve">Argument 2: No Reasonable Expectation of Success</w:t>
      </w:r>
    </w:p>
    <w:p>
      <w:pPr>
        <w:pStyle w:val="FirstParagraph"/>
      </w:pPr>
      <w:r>
        <w:rPr>
          <w:b/>
          <w:bCs/>
        </w:rPr>
        <w:t xml:space="preserve">Veradermics would argue:</w:t>
      </w:r>
      <w:r>
        <w:t xml:space="preserve"> </w:t>
      </w:r>
      <w:r>
        <w:t xml:space="preserve">The critical question is whether a POSA would have had a reasonable expectation of success that an ER formulation would:</w:t>
      </w:r>
    </w:p>
    <w:p>
      <w:pPr>
        <w:pStyle w:val="Compact"/>
        <w:numPr>
          <w:ilvl w:val="0"/>
          <w:numId w:val="1002"/>
        </w:numPr>
      </w:pPr>
      <w:r>
        <w:t xml:space="preserve">Reduce Cmax sufficiently to avoid cardiac side effects</w:t>
      </w:r>
    </w:p>
    <w:p>
      <w:pPr>
        <w:pStyle w:val="Compact"/>
        <w:numPr>
          <w:ilvl w:val="0"/>
          <w:numId w:val="1002"/>
        </w:numPr>
      </w:pPr>
      <w:r>
        <w:t xml:space="preserve">Still maintain plasma levels above the ~1.62 ng/mL hair growth threshold</w:t>
      </w:r>
    </w:p>
    <w:p>
      <w:pPr>
        <w:pStyle w:val="Compact"/>
        <w:numPr>
          <w:ilvl w:val="0"/>
          <w:numId w:val="1002"/>
        </w:numPr>
      </w:pPr>
      <w:r>
        <w:t xml:space="preserve">Achieve a therapeutic window that simply didn't exist with IR formulations</w:t>
      </w:r>
    </w:p>
    <w:p>
      <w:pPr>
        <w:pStyle w:val="FirstParagraph"/>
      </w:pPr>
      <w:r>
        <w:t xml:space="preserve">Per Fleishaker 1989, IR minoxidil at just 2.5 mg achieved Cmax of 16.8 ng/mL - dangerously close to the ~20 ng/mL cardiac threshold. The prior art provided no data suggesting that modified release could thread the needle between efficacy and toxicity.</w:t>
      </w:r>
    </w:p>
    <w:p>
      <w:pPr>
        <w:pStyle w:val="BodyText"/>
      </w:pPr>
      <w:r>
        <w:rPr>
          <w:b/>
          <w:bCs/>
        </w:rPr>
        <w:t xml:space="preserve">Case support:</w:t>
      </w:r>
      <w:r>
        <w:t xml:space="preserve"> </w:t>
      </w:r>
      <w:r>
        <w:t xml:space="preserve">OSI Pharmaceuticals v. Apotex (Fed. Cir. 2019)</w:t>
      </w:r>
      <w:r>
        <w:t xml:space="preserve"> </w:t>
      </w:r>
      <w:r>
        <w:t xml:space="preserve">- Federal Circuit reversed PTAB obviousness finding because prior art did not provide reasonable expectation of success given "the highly unpredictable nature" of the therapeutic area.</w:t>
      </w:r>
    </w:p>
    <w:bookmarkEnd w:id="12"/>
    <w:bookmarkStart w:id="13" w:name="Xea8fa4a07d9049463055ff96ef1e5ce37a6332c"/>
    <w:p>
      <w:pPr>
        <w:pStyle w:val="Heading3"/>
      </w:pPr>
      <w:r>
        <w:t xml:space="preserve">Argument 3: Prior Art Taught Away from Oral Minoxidil</w:t>
      </w:r>
    </w:p>
    <w:p>
      <w:pPr>
        <w:pStyle w:val="FirstParagraph"/>
      </w:pPr>
      <w:r>
        <w:rPr>
          <w:b/>
          <w:bCs/>
        </w:rPr>
        <w:t xml:space="preserve">Veradermics would argue:</w:t>
      </w:r>
      <w:r>
        <w:t xml:space="preserve"> </w:t>
      </w:r>
      <w:r>
        <w:t xml:space="preserve">The FDA-approved Loniten label contains a BLACK BOX WARNING about cardiac effects and explicitly states the drug should only be used for "severe hypertension" unresponsive to other treatments. This represents clear teaching away from oral minoxidil for cosmetic indications like hair loss.</w:t>
      </w:r>
    </w:p>
    <w:p>
      <w:pPr>
        <w:pStyle w:val="BodyText"/>
      </w:pPr>
      <w:r>
        <w:rPr>
          <w:b/>
          <w:bCs/>
        </w:rPr>
        <w:t xml:space="preserve">Case support:</w:t>
      </w:r>
      <w:r>
        <w:t xml:space="preserve"> </w:t>
      </w:r>
      <w:r>
        <w:t xml:space="preserve">Galderma Labs v. Tolmar</w:t>
      </w:r>
      <w:r>
        <w:t xml:space="preserve"> </w:t>
      </w:r>
      <w:r>
        <w:t xml:space="preserve">- Federal Circuit found non-obviousness where prior art stated increasing drug concentration "would not provide additional therapeutic benefit and would likely lead to increased side effects."</w:t>
      </w:r>
    </w:p>
    <w:bookmarkEnd w:id="13"/>
    <w:bookmarkStart w:id="14" w:name="X043677a9f5f0890a696b009814815fb9e8f5543"/>
    <w:p>
      <w:pPr>
        <w:pStyle w:val="Heading3"/>
      </w:pPr>
      <w:r>
        <w:t xml:space="preserve">Argument 4: KSR "Obvious to Try" Doesn't Apply</w:t>
      </w:r>
    </w:p>
    <w:p>
      <w:pPr>
        <w:pStyle w:val="FirstParagraph"/>
      </w:pPr>
      <w:r>
        <w:rPr>
          <w:b/>
          <w:bCs/>
        </w:rPr>
        <w:t xml:space="preserve">Veradermics would argue:</w:t>
      </w:r>
      <w:r>
        <w:t xml:space="preserve"> </w:t>
      </w:r>
      <w:r>
        <w:t xml:space="preserve">Under</w:t>
      </w:r>
      <w:r>
        <w:t xml:space="preserve"> </w:t>
      </w:r>
      <w:r>
        <w:t xml:space="preserve">KSR Int'l Co. v. Teleflex Inc.</w:t>
      </w:r>
      <w:r>
        <w:t xml:space="preserve">, an invention may be obvious to try only where there is a "finite number of identified, predictable solutions." For ER minoxidil, there was NOT a predictable solution because:</w:t>
      </w:r>
    </w:p>
    <w:p>
      <w:pPr>
        <w:pStyle w:val="Compact"/>
        <w:numPr>
          <w:ilvl w:val="0"/>
          <w:numId w:val="1003"/>
        </w:numPr>
      </w:pPr>
      <w:r>
        <w:t xml:space="preserve">The therapeutic window was unknown and potentially non-existent</w:t>
      </w:r>
    </w:p>
    <w:p>
      <w:pPr>
        <w:pStyle w:val="Compact"/>
        <w:numPr>
          <w:ilvl w:val="0"/>
          <w:numId w:val="1003"/>
        </w:numPr>
      </w:pPr>
      <w:r>
        <w:t xml:space="preserve">Multiple formulation variables had unpredictable effects</w:t>
      </w:r>
    </w:p>
    <w:p>
      <w:pPr>
        <w:pStyle w:val="Compact"/>
        <w:numPr>
          <w:ilvl w:val="0"/>
          <w:numId w:val="1003"/>
        </w:numPr>
      </w:pPr>
      <w:r>
        <w:t xml:space="preserve">The relationship between plasma concentration and both efficacy and cardiac safety was poorly understood</w:t>
      </w:r>
    </w:p>
    <w:p>
      <w:pPr>
        <w:pStyle w:val="FirstParagraph"/>
      </w:pPr>
      <w:r>
        <w:t xml:space="preserve">As the Federal Circuit held: "Hope does not create a reasonable expectation of success."</w:t>
      </w:r>
    </w:p>
    <w:bookmarkEnd w:id="14"/>
    <w:bookmarkStart w:id="15" w:name="Xc0bd9e74b5a0237c1cc18f8a951a80c41728ba9"/>
    <w:p>
      <w:pPr>
        <w:pStyle w:val="Heading3"/>
      </w:pPr>
      <w:r>
        <w:t xml:space="preserve">Argument 5: Strong Secondary Considerations</w:t>
      </w:r>
    </w:p>
    <w:p>
      <w:pPr>
        <w:pStyle w:val="FirstParagraph"/>
      </w:pPr>
      <w:r>
        <w:rPr>
          <w:b/>
          <w:bCs/>
        </w:rPr>
        <w:t xml:space="preserve">Long-felt need:</w:t>
      </w:r>
      <w:r>
        <w:t xml:space="preserve"> </w:t>
      </w:r>
      <w:r>
        <w:t xml:space="preserve">Pattern hair loss affects over 80 million Americans. For decades, the only FDA-approved options were topical minoxidil (compliance issues) and finasteride (hormonal, contraindicated in women). The need for a safe, effective, non-hormonal oral treatment has existed for decades.</w:t>
      </w:r>
    </w:p>
    <w:p>
      <w:pPr>
        <w:pStyle w:val="BodyText"/>
      </w:pPr>
      <w:r>
        <w:rPr>
          <w:b/>
          <w:bCs/>
        </w:rPr>
        <w:t xml:space="preserve">Commercial success:</w:t>
      </w:r>
      <w:r>
        <w:t xml:space="preserve"> </w:t>
      </w:r>
      <w:r>
        <w:t xml:space="preserve">Veradermics achieved $150 million Series C financing (oversubscribed) and $256 million IPO pricing. This demonstrates market recognition of the innovation.</w:t>
      </w:r>
    </w:p>
    <w:p>
      <w:pPr>
        <w:pStyle w:val="BodyText"/>
      </w:pPr>
      <w:r>
        <w:rPr>
          <w:b/>
          <w:bCs/>
        </w:rPr>
        <w:t xml:space="preserve">Failure of others:</w:t>
      </w:r>
      <w:r>
        <w:t xml:space="preserve"> </w:t>
      </w:r>
      <w:r>
        <w:t xml:space="preserve">Despite minoxidil being off-patent since 1996 and HPMC technology being well-known, NO other company developed an FDA-approvable extended-release oral minoxidil product with demonstrated cardiac safety.</w:t>
      </w:r>
    </w:p>
    <w:bookmarkEnd w:id="15"/>
    <w:bookmarkEnd w:id="16"/>
    <w:bookmarkStart w:id="21" w:name="infringement"/>
    <w:p>
      <w:pPr>
        <w:pStyle w:val="Heading2"/>
      </w:pPr>
      <w:r>
        <w:t xml:space="preserve">2. Infringement Arguments Against Lipid Matrix</w:t>
      </w:r>
    </w:p>
    <w:p>
      <w:pPr>
        <w:pStyle w:val="FirstParagraph"/>
      </w:pPr>
      <w:r>
        <w:rPr>
          <w:i/>
          <w:iCs/>
        </w:rPr>
        <w:t xml:space="preserve">The strongest arguments that our lipid matrix formulation might STILL INFRINGE:</w:t>
      </w:r>
    </w:p>
    <w:bookmarkStart w:id="17" w:name="Xbad432c5d027c15192665df43837455cb6a9226"/>
    <w:p>
      <w:pPr>
        <w:pStyle w:val="Heading3"/>
      </w:pPr>
      <w:r>
        <w:t xml:space="preserve">Argument 1: Broad Functional Claim Language</w:t>
      </w:r>
    </w:p>
    <w:p>
      <w:pPr>
        <w:pStyle w:val="FirstParagraph"/>
      </w:pPr>
      <w:r>
        <w:rPr>
          <w:b/>
          <w:bCs/>
        </w:rPr>
        <w:t xml:space="preserve">Veradermics would argue:</w:t>
      </w:r>
      <w:r>
        <w:t xml:space="preserve"> </w:t>
      </w:r>
      <w:r>
        <w:t xml:space="preserve">The claims use "modified release pharmaceutical formulation" - NOT "HPMC matrix tablet." This is a functional limitation describing what the formulation does, not how it does it. Lipid matrices achieve modified release, therefore they fall within claim scope.</w:t>
      </w:r>
    </w:p>
    <w:p>
      <w:pPr>
        <w:pStyle w:val="BodyText"/>
      </w:pPr>
      <w:r>
        <w:rPr>
          <w:b/>
          <w:bCs/>
        </w:rPr>
        <w:t xml:space="preserve">Claim 1 language:</w:t>
      </w:r>
      <w:r>
        <w:t xml:space="preserve"> </w:t>
      </w:r>
      <w:r>
        <w:t xml:space="preserve">"A method of treating hair loss, comprising orally administering to a subject in need thereof a</w:t>
      </w:r>
      <w:r>
        <w:t xml:space="preserve"> </w:t>
      </w:r>
      <w:r>
        <w:rPr>
          <w:b/>
          <w:bCs/>
        </w:rPr>
        <w:t xml:space="preserve">modified release pharmaceutical formulation</w:t>
      </w:r>
      <w:r>
        <w:t xml:space="preserve"> </w:t>
      </w:r>
      <w:r>
        <w:t xml:space="preserve">comprising from about 3.5 mg to about 20 mg of minoxidil..."</w:t>
      </w:r>
    </w:p>
    <w:bookmarkEnd w:id="17"/>
    <w:bookmarkStart w:id="18" w:name="argument-2-doctrine-of-equivalents"/>
    <w:p>
      <w:pPr>
        <w:pStyle w:val="Heading3"/>
      </w:pPr>
      <w:r>
        <w:t xml:space="preserve">Argument 2: Doctrine of Equivalents</w:t>
      </w:r>
    </w:p>
    <w:p>
      <w:pPr>
        <w:pStyle w:val="FirstParagraph"/>
      </w:pPr>
      <w:r>
        <w:rPr>
          <w:b/>
          <w:bCs/>
        </w:rPr>
        <w:t xml:space="preserve">Function-Way-Result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HPMC Matrix (Claimed)</w:t>
            </w:r>
          </w:p>
        </w:tc>
        <w:tc>
          <w:tcPr/>
          <w:p>
            <w:pPr>
              <w:pStyle w:val="Compact"/>
            </w:pPr>
            <w:r>
              <w:t xml:space="preserve">Lipid Matrix (Ours)</w:t>
            </w:r>
          </w:p>
        </w:tc>
        <w:tc>
          <w:tcPr/>
          <w:p>
            <w:pPr>
              <w:pStyle w:val="Compact"/>
            </w:pPr>
            <w:r>
              <w:t xml:space="preserve">Same?</w:t>
            </w:r>
          </w:p>
        </w:tc>
      </w:tr>
      <w:tr>
        <w:tc>
          <w:tcPr/>
          <w:p>
            <w:pPr>
              <w:pStyle w:val="Compact"/>
            </w:pPr>
            <w:r>
              <w:t xml:space="preserve">Function</w:t>
            </w:r>
          </w:p>
        </w:tc>
        <w:tc>
          <w:tcPr/>
          <w:p>
            <w:pPr>
              <w:pStyle w:val="Compact"/>
            </w:pPr>
            <w:r>
              <w:t xml:space="preserve">Slow/control drug release</w:t>
            </w:r>
          </w:p>
        </w:tc>
        <w:tc>
          <w:tcPr/>
          <w:p>
            <w:pPr>
              <w:pStyle w:val="Compact"/>
            </w:pPr>
            <w:r>
              <w:t xml:space="preserve">Slow/control drug release</w:t>
            </w:r>
          </w:p>
        </w:tc>
        <w:tc>
          <w:tcPr/>
          <w:p>
            <w:pPr>
              <w:pStyle w:val="Compact"/>
            </w:pPr>
            <w:r>
              <w:rPr>
                <w:b/>
                <w:bCs/>
              </w:rPr>
              <w:t xml:space="preserve">YES</w:t>
            </w:r>
          </w:p>
        </w:tc>
      </w:tr>
      <w:tr>
        <w:tc>
          <w:tcPr/>
          <w:p>
            <w:pPr>
              <w:pStyle w:val="Compact"/>
            </w:pPr>
            <w:r>
              <w:t xml:space="preserve">Way</w:t>
            </w:r>
          </w:p>
        </w:tc>
        <w:tc>
          <w:tcPr/>
          <w:p>
            <w:pPr>
              <w:pStyle w:val="Compact"/>
            </w:pPr>
            <w:r>
              <w:t xml:space="preserve">Matrix erosion + diffusion</w:t>
            </w:r>
          </w:p>
        </w:tc>
        <w:tc>
          <w:tcPr/>
          <w:p>
            <w:pPr>
              <w:pStyle w:val="Compact"/>
            </w:pPr>
            <w:r>
              <w:t xml:space="preserve">Matrix erosion + diffusion</w:t>
            </w:r>
          </w:p>
        </w:tc>
        <w:tc>
          <w:tcPr/>
          <w:p>
            <w:pPr>
              <w:pStyle w:val="Compact"/>
            </w:pPr>
            <w:r>
              <w:rPr>
                <w:b/>
                <w:bCs/>
              </w:rPr>
              <w:t xml:space="preserve">ARGUABLY YES</w:t>
            </w:r>
          </w:p>
        </w:tc>
      </w:tr>
      <w:tr>
        <w:tc>
          <w:tcPr/>
          <w:p>
            <w:pPr>
              <w:pStyle w:val="Compact"/>
            </w:pPr>
            <w:r>
              <w:t xml:space="preserve">Result</w:t>
            </w:r>
          </w:p>
        </w:tc>
        <w:tc>
          <w:tcPr/>
          <w:p>
            <w:pPr>
              <w:pStyle w:val="Compact"/>
            </w:pPr>
            <w:r>
              <w:t xml:space="preserve">Extended PK profile</w:t>
            </w:r>
          </w:p>
        </w:tc>
        <w:tc>
          <w:tcPr/>
          <w:p>
            <w:pPr>
              <w:pStyle w:val="Compact"/>
            </w:pPr>
            <w:r>
              <w:t xml:space="preserve">Extended PK profile</w:t>
            </w:r>
          </w:p>
        </w:tc>
        <w:tc>
          <w:tcPr/>
          <w:p>
            <w:pPr>
              <w:pStyle w:val="Compact"/>
            </w:pPr>
            <w:r>
              <w:rPr>
                <w:b/>
                <w:bCs/>
              </w:rPr>
              <w:t xml:space="preserve">YES</w:t>
            </w:r>
          </w:p>
        </w:tc>
      </w:tr>
    </w:tbl>
    <w:p>
      <w:pPr>
        <w:pStyle w:val="BodyText"/>
      </w:pPr>
      <w:r>
        <w:rPr>
          <w:b/>
          <w:bCs/>
        </w:rPr>
        <w:t xml:space="preserve">Case support:</w:t>
      </w:r>
      <w:r>
        <w:t xml:space="preserve"> </w:t>
      </w:r>
      <w:r>
        <w:t xml:space="preserve">Intendis GmbH v. Glenmark Pharmaceuticals (Fed. Cir. 2016)</w:t>
      </w:r>
      <w:r>
        <w:t xml:space="preserve"> </w:t>
      </w:r>
      <w:r>
        <w:t xml:space="preserve">- Different excipient systems (isopropyl myristate vs. triglyceride/lecithin) were found equivalent because both perform the same function (penetration enhancement).</w:t>
      </w:r>
    </w:p>
    <w:bookmarkEnd w:id="18"/>
    <w:bookmarkStart w:id="19" w:name="argument-3-known-interchangeability"/>
    <w:p>
      <w:pPr>
        <w:pStyle w:val="Heading3"/>
      </w:pPr>
      <w:r>
        <w:t xml:space="preserve">Argument 3: Known Interchangeability</w:t>
      </w:r>
    </w:p>
    <w:p>
      <w:pPr>
        <w:pStyle w:val="FirstParagraph"/>
      </w:pPr>
      <w:r>
        <w:rPr>
          <w:b/>
          <w:bCs/>
        </w:rPr>
        <w:t xml:space="preserve">Veradermics would argue:</w:t>
      </w:r>
      <w:r>
        <w:t xml:space="preserve"> </w:t>
      </w:r>
      <w:r>
        <w:t xml:space="preserve">Research literature shows lipid matrices and HPMC matrices are known interchangeable alternatives for sustained release. Pharmaceutical textbooks teach these as alternative approaches to the same problem. If the technologies are known equivalents, a PHOSITA would consider them interchangeable.</w:t>
      </w:r>
    </w:p>
    <w:p>
      <w:pPr>
        <w:pStyle w:val="BodyText"/>
      </w:pPr>
      <w:r>
        <w:rPr>
          <w:b/>
          <w:bCs/>
        </w:rPr>
        <w:t xml:space="preserve">Danger:</w:t>
      </w:r>
      <w:r>
        <w:t xml:space="preserve"> </w:t>
      </w:r>
      <w:r>
        <w:t xml:space="preserve">Any public statements or FDA filings describing our formulation as "equivalent" or "similar" to theirs could be used as evidence.</w:t>
      </w:r>
    </w:p>
    <w:bookmarkEnd w:id="19"/>
    <w:bookmarkStart w:id="20" w:name="argument-4-pk-parameter-overlap"/>
    <w:p>
      <w:pPr>
        <w:pStyle w:val="Heading3"/>
      </w:pPr>
      <w:r>
        <w:t xml:space="preserve">Argument 4: PK Parameter Overlap</w:t>
      </w:r>
    </w:p>
    <w:p>
      <w:pPr>
        <w:pStyle w:val="FirstParagraph"/>
      </w:pPr>
      <w:r>
        <w:rPr>
          <w:b/>
          <w:bCs/>
        </w:rPr>
        <w:t xml:space="preserve">Our targets vs. their claims: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Veradermics Claims</w:t>
            </w:r>
          </w:p>
        </w:tc>
        <w:tc>
          <w:tcPr/>
          <w:p>
            <w:pPr>
              <w:pStyle w:val="Compact"/>
            </w:pPr>
            <w:r>
              <w:t xml:space="preserve">Our Lipid Matrix Target</w:t>
            </w:r>
          </w:p>
        </w:tc>
        <w:tc>
          <w:tcPr/>
          <w:p>
            <w:pPr>
              <w:pStyle w:val="Compact"/>
            </w:pPr>
            <w:r>
              <w:t xml:space="preserve">Overlap?</w:t>
            </w:r>
          </w:p>
        </w:tc>
      </w:tr>
      <w:tr>
        <w:tc>
          <w:tcPr/>
          <w:p>
            <w:pPr>
              <w:pStyle w:val="Compact"/>
            </w:pPr>
            <w:r>
              <w:t xml:space="preserve">Cmax</w:t>
            </w:r>
          </w:p>
        </w:tc>
        <w:tc>
          <w:tcPr/>
          <w:p>
            <w:pPr>
              <w:pStyle w:val="Compact"/>
            </w:pPr>
            <w:r>
              <w:t xml:space="preserve">0.25-20 ng/mL</w:t>
            </w:r>
          </w:p>
        </w:tc>
        <w:tc>
          <w:tcPr/>
          <w:p>
            <w:pPr>
              <w:pStyle w:val="Compact"/>
            </w:pPr>
            <w:r>
              <w:t xml:space="preserve">6-10 ng/mL</w:t>
            </w:r>
          </w:p>
        </w:tc>
        <w:tc>
          <w:tcPr/>
          <w:p>
            <w:pPr>
              <w:pStyle w:val="Compact"/>
            </w:pPr>
            <w:r>
              <w:rPr>
                <w:b/>
                <w:bCs/>
              </w:rPr>
              <w:t xml:space="preserve">YES</w:t>
            </w:r>
          </w:p>
        </w:tc>
      </w:tr>
      <w:tr>
        <w:tc>
          <w:tcPr/>
          <w:p>
            <w:pPr>
              <w:pStyle w:val="Compact"/>
            </w:pPr>
            <w:r>
              <w:t xml:space="preserve">Tmax</w:t>
            </w:r>
          </w:p>
        </w:tc>
        <w:tc>
          <w:tcPr/>
          <w:p>
            <w:pPr>
              <w:pStyle w:val="Compact"/>
            </w:pPr>
            <w:r>
              <w:t xml:space="preserve">30-360 minutes</w:t>
            </w:r>
          </w:p>
        </w:tc>
        <w:tc>
          <w:tcPr/>
          <w:p>
            <w:pPr>
              <w:pStyle w:val="Compact"/>
            </w:pPr>
            <w:r>
              <w:t xml:space="preserve">2-4 hours (120-240 min)</w:t>
            </w:r>
          </w:p>
        </w:tc>
        <w:tc>
          <w:tcPr/>
          <w:p>
            <w:pPr>
              <w:pStyle w:val="Compact"/>
            </w:pPr>
            <w:r>
              <w:rPr>
                <w:b/>
                <w:bCs/>
              </w:rPr>
              <w:t xml:space="preserve">YES</w:t>
            </w:r>
          </w:p>
        </w:tc>
      </w:tr>
      <w:tr>
        <w:tc>
          <w:tcPr/>
          <w:p>
            <w:pPr>
              <w:pStyle w:val="Compact"/>
            </w:pPr>
            <w:r>
              <w:t xml:space="preserve">Dose</w:t>
            </w:r>
          </w:p>
        </w:tc>
        <w:tc>
          <w:tcPr/>
          <w:p>
            <w:pPr>
              <w:pStyle w:val="Compact"/>
            </w:pPr>
            <w:r>
              <w:t xml:space="preserve">3.5-20 mg</w:t>
            </w:r>
          </w:p>
        </w:tc>
        <w:tc>
          <w:tcPr/>
          <w:p>
            <w:pPr>
              <w:pStyle w:val="Compact"/>
            </w:pPr>
            <w:r>
              <w:t xml:space="preserve">5-10 mg</w:t>
            </w:r>
          </w:p>
        </w:tc>
        <w:tc>
          <w:tcPr/>
          <w:p>
            <w:pPr>
              <w:pStyle w:val="Compact"/>
            </w:pPr>
            <w:r>
              <w:rPr>
                <w:b/>
                <w:bCs/>
              </w:rPr>
              <w:t xml:space="preserve">YES</w:t>
            </w:r>
          </w:p>
        </w:tc>
      </w:tr>
    </w:tbl>
    <w:p>
      <w:pPr>
        <w:pStyle w:val="BodyText"/>
      </w:pPr>
      <w:r>
        <w:rPr>
          <w:b/>
          <w:bCs/>
        </w:rPr>
        <w:t xml:space="preserve">Veradermics would argue:</w:t>
      </w:r>
      <w:r>
        <w:t xml:space="preserve"> </w:t>
      </w:r>
      <w:r>
        <w:t xml:space="preserve">If our formulation achieves these PK parameters for hair loss treatment, we practice the claimed method regardless of the underlying release mechanism.</w:t>
      </w:r>
    </w:p>
    <w:bookmarkEnd w:id="20"/>
    <w:bookmarkEnd w:id="21"/>
    <w:bookmarkStart w:id="24" w:name="unexpected"/>
    <w:p>
      <w:pPr>
        <w:pStyle w:val="Heading2"/>
      </w:pPr>
      <w:r>
        <w:t xml:space="preserve">3. Unexpected Results Arguments</w:t>
      </w:r>
    </w:p>
    <w:p>
      <w:pPr>
        <w:pStyle w:val="FirstParagraph"/>
      </w:pPr>
      <w:r>
        <w:rPr>
          <w:i/>
          <w:iCs/>
        </w:rPr>
        <w:t xml:space="preserve">How Veradermics would argue their results were unexpected (establishing non-obviousness):</w:t>
      </w:r>
    </w:p>
    <w:bookmarkStart w:id="22" w:name="the-therapeutic-window-was-unexpected"/>
    <w:p>
      <w:pPr>
        <w:pStyle w:val="Heading3"/>
      </w:pPr>
      <w:r>
        <w:t xml:space="preserve">The Therapeutic Window Was Unexpected</w:t>
      </w:r>
    </w:p>
    <w:p>
      <w:pPr>
        <w:pStyle w:val="FirstParagraph"/>
      </w:pPr>
      <w:r>
        <w:t xml:space="preserve">The most significant unexpected result is that a therapeutic window for oral minoxidil exists at all. Before Veradermics' work:</w:t>
      </w:r>
    </w:p>
    <w:p>
      <w:pPr>
        <w:pStyle w:val="Compact"/>
        <w:numPr>
          <w:ilvl w:val="0"/>
          <w:numId w:val="1004"/>
        </w:numPr>
      </w:pPr>
      <w:r>
        <w:t xml:space="preserve">Even low doses (2.5 mg IR) approached cardiac toxicity thresholds</w:t>
      </w:r>
    </w:p>
    <w:p>
      <w:pPr>
        <w:pStyle w:val="Compact"/>
        <w:numPr>
          <w:ilvl w:val="0"/>
          <w:numId w:val="1004"/>
        </w:numPr>
      </w:pPr>
      <w:r>
        <w:t xml:space="preserve">The drug's hypotensive effects lasted ~72 hours despite a 4-hour half-life</w:t>
      </w:r>
    </w:p>
    <w:p>
      <w:pPr>
        <w:pStyle w:val="Compact"/>
        <w:numPr>
          <w:ilvl w:val="0"/>
          <w:numId w:val="1004"/>
        </w:numPr>
      </w:pPr>
      <w:r>
        <w:t xml:space="preserve">Hair growth required sustained plasma concentrations that seemed incompatible with cardiac safety</w:t>
      </w:r>
    </w:p>
    <w:p>
      <w:pPr>
        <w:pStyle w:val="FirstParagraph"/>
      </w:pPr>
      <w:r>
        <w:t xml:space="preserve">Veradermics demonstrated that maintaining concentrations between 5-15 ng/mL achieves hair regrowth WITHOUT cardiac adverse events. This is an "unexpected difference in kind."</w:t>
      </w:r>
    </w:p>
    <w:p>
      <w:pPr>
        <w:pStyle w:val="BodyText"/>
      </w:pPr>
      <w:r>
        <w:rPr>
          <w:b/>
          <w:bCs/>
        </w:rPr>
        <w:t xml:space="preserve">Case support:</w:t>
      </w:r>
      <w:r>
        <w:t xml:space="preserve"> </w:t>
      </w:r>
      <w:r>
        <w:t xml:space="preserve">Allergan v. Sandoz (Fed. Cir. 2015)</w:t>
      </w:r>
      <w:r>
        <w:t xml:space="preserve"> </w:t>
      </w:r>
      <w:r>
        <w:t xml:space="preserve">- Found non-obvious where lower concentration unexpectedly maintained efficacy with fewer side effects.</w:t>
      </w:r>
    </w:p>
    <w:bookmarkEnd w:id="22"/>
    <w:bookmarkStart w:id="23" w:name="clinical-results-exceeded-expectations"/>
    <w:p>
      <w:pPr>
        <w:pStyle w:val="Heading3"/>
      </w:pPr>
      <w:r>
        <w:t xml:space="preserve">Clinical Results Exceeded Expectations</w:t>
      </w:r>
    </w:p>
    <w:p>
      <w:pPr>
        <w:pStyle w:val="FirstParagraph"/>
      </w:pPr>
      <w:r>
        <w:rPr>
          <w:b/>
          <w:bCs/>
        </w:rPr>
        <w:t xml:space="preserve">Phase 2 results:</w:t>
      </w:r>
    </w:p>
    <w:p>
      <w:pPr>
        <w:pStyle w:val="Compact"/>
        <w:numPr>
          <w:ilvl w:val="0"/>
          <w:numId w:val="1005"/>
        </w:numPr>
      </w:pPr>
      <w:r>
        <w:t xml:space="preserve">47.3 hairs/cm² increase from baseline at 4 months</w:t>
      </w:r>
    </w:p>
    <w:p>
      <w:pPr>
        <w:pStyle w:val="Compact"/>
        <w:numPr>
          <w:ilvl w:val="0"/>
          <w:numId w:val="1005"/>
        </w:numPr>
      </w:pPr>
      <w:r>
        <w:t xml:space="preserve">90.5% of participants reported improved/much improved hair coverage</w:t>
      </w:r>
    </w:p>
    <w:p>
      <w:pPr>
        <w:pStyle w:val="Compact"/>
        <w:numPr>
          <w:ilvl w:val="0"/>
          <w:numId w:val="1005"/>
        </w:numPr>
      </w:pPr>
      <w:r>
        <w:t xml:space="preserve">Zero serious cardiac adverse events</w:t>
      </w:r>
    </w:p>
    <w:p>
      <w:pPr>
        <w:pStyle w:val="FirstParagraph"/>
      </w:pPr>
      <w:r>
        <w:t xml:space="preserve">Prior art (Sinclair 2018) studying low-dose IR minoxidil showed more modest results with combination therapy and still saw adverse effects like hypertrichosis, dizziness, and edema.</w:t>
      </w:r>
    </w:p>
    <w:bookmarkEnd w:id="23"/>
    <w:bookmarkEnd w:id="24"/>
    <w:bookmarkStart w:id="25" w:name="case-law"/>
    <w:p>
      <w:pPr>
        <w:pStyle w:val="Heading2"/>
      </w:pPr>
      <w:r>
        <w:t xml:space="preserve">4. Case Law They Would Cite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Holding</w:t>
            </w:r>
          </w:p>
        </w:tc>
        <w:tc>
          <w:tcPr/>
          <w:p>
            <w:pPr>
              <w:pStyle w:val="Compact"/>
            </w:pPr>
            <w:r>
              <w:t xml:space="preserve">How They'd Use It</w:t>
            </w:r>
          </w:p>
        </w:tc>
      </w:tr>
      <w:tr>
        <w:tc>
          <w:tcPr/>
          <w:p>
            <w:pPr>
              <w:pStyle w:val="Compact"/>
            </w:pPr>
            <w:r>
              <w:rPr>
                <w:b/>
                <w:bCs/>
              </w:rPr>
              <w:t xml:space="preserve">In re Cyclobenzaprine (Fed. Cir. 2012)</w:t>
            </w:r>
          </w:p>
        </w:tc>
        <w:tc>
          <w:tcPr/>
          <w:p>
            <w:pPr>
              <w:pStyle w:val="Compact"/>
            </w:pPr>
            <w:r>
              <w:t xml:space="preserve">ER formulation patent valid; bioequivalence alone insufficient for obviousness without known PK/PD relationship</w:t>
            </w:r>
          </w:p>
        </w:tc>
        <w:tc>
          <w:tcPr/>
          <w:p>
            <w:pPr>
              <w:pStyle w:val="Compact"/>
            </w:pPr>
            <w:r>
              <w:t xml:space="preserve">Argue oral minoxidil PK/PD for hair loss was unknown</w:t>
            </w:r>
          </w:p>
        </w:tc>
      </w:tr>
      <w:tr>
        <w:tc>
          <w:tcPr/>
          <w:p>
            <w:pPr>
              <w:pStyle w:val="Compact"/>
            </w:pPr>
            <w:r>
              <w:rPr>
                <w:b/>
                <w:bCs/>
              </w:rPr>
              <w:t xml:space="preserve">Allergan v. Sandoz (Fed. Cir. 2015)</w:t>
            </w:r>
          </w:p>
        </w:tc>
        <w:tc>
          <w:tcPr/>
          <w:p>
            <w:pPr>
              <w:pStyle w:val="Compact"/>
            </w:pPr>
            <w:r>
              <w:t xml:space="preserve">Lumigan 0.01% non-obvious; lower concentration with maintained efficacy was unexpected</w:t>
            </w:r>
          </w:p>
        </w:tc>
        <w:tc>
          <w:tcPr/>
          <w:p>
            <w:pPr>
              <w:pStyle w:val="Compact"/>
            </w:pPr>
            <w:r>
              <w:t xml:space="preserve">Directly analogous to their Cmax reduction claim</w:t>
            </w:r>
          </w:p>
        </w:tc>
      </w:tr>
      <w:tr>
        <w:tc>
          <w:tcPr/>
          <w:p>
            <w:pPr>
              <w:pStyle w:val="Compact"/>
            </w:pPr>
            <w:r>
              <w:rPr>
                <w:b/>
                <w:bCs/>
              </w:rPr>
              <w:t xml:space="preserve">OSI Pharma v. Apotex (Fed. Cir. 2019)</w:t>
            </w:r>
          </w:p>
        </w:tc>
        <w:tc>
          <w:tcPr/>
          <w:p>
            <w:pPr>
              <w:pStyle w:val="Compact"/>
            </w:pPr>
            <w:r>
              <w:t xml:space="preserve">Reversed PTAB; no reasonable expectation of success in unpredictable field</w:t>
            </w:r>
          </w:p>
        </w:tc>
        <w:tc>
          <w:tcPr/>
          <w:p>
            <w:pPr>
              <w:pStyle w:val="Compact"/>
            </w:pPr>
            <w:r>
              <w:t xml:space="preserve">Argue hair loss therapeutics are unpredictable</w:t>
            </w:r>
          </w:p>
        </w:tc>
      </w:tr>
      <w:tr>
        <w:tc>
          <w:tcPr/>
          <w:p>
            <w:pPr>
              <w:pStyle w:val="Compact"/>
            </w:pPr>
            <w:r>
              <w:rPr>
                <w:b/>
                <w:bCs/>
              </w:rPr>
              <w:t xml:space="preserve">Intendis v. Glenmark (Fed. Cir. 2016)</w:t>
            </w:r>
          </w:p>
        </w:tc>
        <w:tc>
          <w:tcPr/>
          <w:p>
            <w:pPr>
              <w:pStyle w:val="Compact"/>
            </w:pPr>
            <w:r>
              <w:t xml:space="preserve">Different excipients found equivalent under doctrine of equivalents</w:t>
            </w:r>
          </w:p>
        </w:tc>
        <w:tc>
          <w:tcPr/>
          <w:p>
            <w:pPr>
              <w:pStyle w:val="Compact"/>
            </w:pPr>
            <w:r>
              <w:t xml:space="preserve">Argue lipid matrix is equivalent to HPMC matrix</w:t>
            </w:r>
          </w:p>
        </w:tc>
      </w:tr>
      <w:tr>
        <w:tc>
          <w:tcPr/>
          <w:p>
            <w:pPr>
              <w:pStyle w:val="Compact"/>
            </w:pPr>
            <w:r>
              <w:rPr>
                <w:b/>
                <w:bCs/>
              </w:rPr>
              <w:t xml:space="preserve">Galderma v. Tolmar</w:t>
            </w:r>
          </w:p>
        </w:tc>
        <w:tc>
          <w:tcPr/>
          <w:p>
            <w:pPr>
              <w:pStyle w:val="Compact"/>
            </w:pPr>
            <w:r>
              <w:t xml:space="preserve">Teaching away found where prior art warned against the approach</w:t>
            </w:r>
          </w:p>
        </w:tc>
        <w:tc>
          <w:tcPr/>
          <w:p>
            <w:pPr>
              <w:pStyle w:val="Compact"/>
            </w:pPr>
            <w:r>
              <w:t xml:space="preserve">Cite Loniten black box warning as teaching away</w:t>
            </w:r>
          </w:p>
        </w:tc>
      </w:tr>
    </w:tbl>
    <w:bookmarkEnd w:id="25"/>
    <w:bookmarkStart w:id="30" w:name="sinclair"/>
    <w:p>
      <w:pPr>
        <w:pStyle w:val="Heading2"/>
      </w:pPr>
      <w:r>
        <w:t xml:space="preserve">5. Sinclair Patent Analysis (US10226462B2)</w:t>
      </w:r>
    </w:p>
    <w:bookmarkStart w:id="26" w:name="risk-assessment-low"/>
    <w:p>
      <w:pPr>
        <w:pStyle w:val="Heading3"/>
      </w:pPr>
      <w:r>
        <w:t xml:space="preserve">Risk Assessment: LOW</w:t>
      </w:r>
    </w:p>
    <w:p>
      <w:pPr>
        <w:pStyle w:val="FirstParagraph"/>
      </w:pPr>
      <w:r>
        <w:t xml:space="preserve">The Sinclair/Samson Clinical patent presents minimal infringement risk for our lipid matrix ER approach.</w:t>
      </w:r>
    </w:p>
    <w:bookmarkEnd w:id="26"/>
    <w:bookmarkStart w:id="27" w:name="key-patent-details"/>
    <w:p>
      <w:pPr>
        <w:pStyle w:val="Heading3"/>
      </w:pPr>
      <w:r>
        <w:t xml:space="preserve">Key Patent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Details</w:t>
            </w:r>
          </w:p>
        </w:tc>
      </w:tr>
      <w:tr>
        <w:tc>
          <w:tcPr/>
          <w:p>
            <w:pPr>
              <w:pStyle w:val="Compact"/>
            </w:pPr>
            <w:r>
              <w:t xml:space="preserve">Patent Number</w:t>
            </w:r>
          </w:p>
        </w:tc>
        <w:tc>
          <w:tcPr/>
          <w:p>
            <w:pPr>
              <w:pStyle w:val="Compact"/>
            </w:pPr>
            <w:r>
              <w:t xml:space="preserve">US10226462B2</w:t>
            </w:r>
          </w:p>
        </w:tc>
      </w:tr>
      <w:tr>
        <w:tc>
          <w:tcPr/>
          <w:p>
            <w:pPr>
              <w:pStyle w:val="Compact"/>
            </w:pPr>
            <w:r>
              <w:t xml:space="preserve">Title</w:t>
            </w:r>
          </w:p>
        </w:tc>
        <w:tc>
          <w:tcPr/>
          <w:p>
            <w:pPr>
              <w:pStyle w:val="Compact"/>
            </w:pPr>
            <w:r>
              <w:t xml:space="preserve">"Detection and treatment of excessive hair shedding"</w:t>
            </w:r>
          </w:p>
        </w:tc>
      </w:tr>
      <w:tr>
        <w:tc>
          <w:tcPr/>
          <w:p>
            <w:pPr>
              <w:pStyle w:val="Compact"/>
            </w:pPr>
            <w:r>
              <w:t xml:space="preserve">Assignee</w:t>
            </w:r>
          </w:p>
        </w:tc>
        <w:tc>
          <w:tcPr/>
          <w:p>
            <w:pPr>
              <w:pStyle w:val="Compact"/>
            </w:pPr>
            <w:r>
              <w:t xml:space="preserve">Samson Clinical Pty Ltd (Australia)</w:t>
            </w:r>
          </w:p>
        </w:tc>
      </w:tr>
      <w:tr>
        <w:tc>
          <w:tcPr/>
          <w:p>
            <w:pPr>
              <w:pStyle w:val="Compact"/>
            </w:pPr>
            <w:r>
              <w:t xml:space="preserve">Priority Date</w:t>
            </w:r>
          </w:p>
        </w:tc>
        <w:tc>
          <w:tcPr/>
          <w:p>
            <w:pPr>
              <w:pStyle w:val="Compact"/>
            </w:pPr>
            <w:r>
              <w:t xml:space="preserve">October 29, 2014</w:t>
            </w:r>
          </w:p>
        </w:tc>
      </w:tr>
      <w:tr>
        <w:tc>
          <w:tcPr/>
          <w:p>
            <w:pPr>
              <w:pStyle w:val="Compact"/>
            </w:pPr>
            <w:r>
              <w:t xml:space="preserve">Expiration</w:t>
            </w:r>
          </w:p>
        </w:tc>
        <w:tc>
          <w:tcPr/>
          <w:p>
            <w:pPr>
              <w:pStyle w:val="Compact"/>
            </w:pPr>
            <w:r>
              <w:t xml:space="preserve">October 29, 2035</w:t>
            </w:r>
          </w:p>
        </w:tc>
      </w:tr>
      <w:tr>
        <w:tc>
          <w:tcPr/>
          <w:p>
            <w:pPr>
              <w:pStyle w:val="Compact"/>
            </w:pPr>
            <w:r>
              <w:t xml:space="preserve">Primary Dose Range</w:t>
            </w:r>
          </w:p>
        </w:tc>
        <w:tc>
          <w:tcPr/>
          <w:p>
            <w:pPr>
              <w:pStyle w:val="Compact"/>
            </w:pPr>
            <w:r>
              <w:t xml:space="preserve">0.1-0.49 mg daily</w:t>
            </w:r>
          </w:p>
        </w:tc>
      </w:tr>
      <w:tr>
        <w:tc>
          <w:tcPr/>
          <w:p>
            <w:pPr>
              <w:pStyle w:val="Compact"/>
            </w:pPr>
            <w:r>
              <w:t xml:space="preserve">Formulation Type</w:t>
            </w:r>
          </w:p>
        </w:tc>
        <w:tc>
          <w:tcPr/>
          <w:p>
            <w:pPr>
              <w:pStyle w:val="Compact"/>
            </w:pPr>
            <w:r>
              <w:t xml:space="preserve">Immediate-release ONLY</w:t>
            </w:r>
          </w:p>
        </w:tc>
      </w:tr>
      <w:tr>
        <w:tc>
          <w:tcPr/>
          <w:p>
            <w:pPr>
              <w:pStyle w:val="Compact"/>
            </w:pPr>
            <w:r>
              <w:t xml:space="preserve">ER Claims?</w:t>
            </w:r>
          </w:p>
        </w:tc>
        <w:tc>
          <w:tcPr/>
          <w:p>
            <w:pPr>
              <w:pStyle w:val="Compact"/>
            </w:pPr>
            <w:r>
              <w:rPr>
                <w:b/>
                <w:bCs/>
              </w:rPr>
              <w:t xml:space="preserve">NO</w:t>
            </w:r>
          </w:p>
        </w:tc>
      </w:tr>
      <w:tr>
        <w:tc>
          <w:tcPr/>
          <w:p>
            <w:pPr>
              <w:pStyle w:val="Compact"/>
            </w:pPr>
            <w:r>
              <w:t xml:space="preserve">Lipid Matrix Claims?</w:t>
            </w:r>
          </w:p>
        </w:tc>
        <w:tc>
          <w:tcPr/>
          <w:p>
            <w:pPr>
              <w:pStyle w:val="Compact"/>
            </w:pPr>
            <w:r>
              <w:rPr>
                <w:b/>
                <w:bCs/>
              </w:rPr>
              <w:t xml:space="preserve">NO</w:t>
            </w:r>
          </w:p>
        </w:tc>
      </w:tr>
    </w:tbl>
    <w:bookmarkEnd w:id="27"/>
    <w:bookmarkStart w:id="28" w:name="X1cc4d2e95deef61bba4e0904a07e532531e6e94"/>
    <w:p>
      <w:pPr>
        <w:pStyle w:val="Heading3"/>
      </w:pPr>
      <w:r>
        <w:t xml:space="preserve">Why Our Formulation Likely Does NOT Infringe</w:t>
      </w:r>
    </w:p>
    <w:p>
      <w:pPr>
        <w:pStyle w:val="Compact"/>
        <w:numPr>
          <w:ilvl w:val="0"/>
          <w:numId w:val="1006"/>
        </w:numPr>
      </w:pPr>
      <w:r>
        <w:rPr>
          <w:b/>
          <w:bCs/>
        </w:rPr>
        <w:t xml:space="preserve">Dose differentiation:</w:t>
      </w:r>
      <w:r>
        <w:t xml:space="preserve"> </w:t>
      </w:r>
      <w:r>
        <w:t xml:space="preserve">Our 2.5-5 mg dose is 5-50x higher than Sinclair's primary claimed range (0.1-0.49 mg)</w:t>
      </w:r>
    </w:p>
    <w:p>
      <w:pPr>
        <w:pStyle w:val="Compact"/>
        <w:numPr>
          <w:ilvl w:val="0"/>
          <w:numId w:val="1006"/>
        </w:numPr>
      </w:pPr>
      <w:r>
        <w:rPr>
          <w:b/>
          <w:bCs/>
        </w:rPr>
        <w:t xml:space="preserve">Formulation technology:</w:t>
      </w:r>
      <w:r>
        <w:t xml:space="preserve"> </w:t>
      </w:r>
      <w:r>
        <w:t xml:space="preserve">Sinclair claims only immediate-release; we use extended-release lipid matrix</w:t>
      </w:r>
    </w:p>
    <w:p>
      <w:pPr>
        <w:pStyle w:val="Compact"/>
        <w:numPr>
          <w:ilvl w:val="0"/>
          <w:numId w:val="1006"/>
        </w:numPr>
      </w:pPr>
      <w:r>
        <w:rPr>
          <w:b/>
          <w:bCs/>
        </w:rPr>
        <w:t xml:space="preserve">Excipients:</w:t>
      </w:r>
      <w:r>
        <w:t xml:space="preserve"> </w:t>
      </w:r>
      <w:r>
        <w:t xml:space="preserve">Sinclair claims standard IR excipients (starch, lactose, MCC); we use lipid matrices (Compritol, Precirol)</w:t>
      </w:r>
    </w:p>
    <w:p>
      <w:pPr>
        <w:pStyle w:val="Compact"/>
        <w:numPr>
          <w:ilvl w:val="0"/>
          <w:numId w:val="1006"/>
        </w:numPr>
      </w:pPr>
      <w:r>
        <w:rPr>
          <w:b/>
          <w:bCs/>
        </w:rPr>
        <w:t xml:space="preserve">PK profile:</w:t>
      </w:r>
      <w:r>
        <w:t xml:space="preserve"> </w:t>
      </w:r>
      <w:r>
        <w:t xml:space="preserve">Our ER profile is fundamentally different from IR</w:t>
      </w:r>
    </w:p>
    <w:bookmarkEnd w:id="28"/>
    <w:bookmarkStart w:id="29" w:name="prior-art-value"/>
    <w:p>
      <w:pPr>
        <w:pStyle w:val="Heading3"/>
      </w:pPr>
      <w:r>
        <w:t xml:space="preserve">Prior Art Value</w:t>
      </w:r>
    </w:p>
    <w:p>
      <w:pPr>
        <w:pStyle w:val="FirstParagraph"/>
      </w:pPr>
      <w:r>
        <w:t xml:space="preserve">Sinclair's patent actually HELPS our IPR against Veradermics by establishing that oral minoxidil for hair loss was known and claimed (priority date October 2014) well before Veradermics' October 2022 priority date.</w:t>
      </w:r>
    </w:p>
    <w:bookmarkEnd w:id="29"/>
    <w:bookmarkEnd w:id="30"/>
    <w:bookmarkStart w:id="36" w:name="counters"/>
    <w:p>
      <w:pPr>
        <w:pStyle w:val="Heading2"/>
      </w:pPr>
      <w:r>
        <w:t xml:space="preserve">6. Our Counter-Arguments</w:t>
      </w:r>
    </w:p>
    <w:bookmarkStart w:id="31" w:name="counter-to-claims-not-anticipated"/>
    <w:p>
      <w:pPr>
        <w:pStyle w:val="Heading3"/>
      </w:pPr>
      <w:r>
        <w:t xml:space="preserve">Counter to "Claims Not Anticipated"</w:t>
      </w:r>
    </w:p>
    <w:p>
      <w:pPr>
        <w:pStyle w:val="FirstParagraph"/>
      </w:pPr>
      <w:r>
        <w:rPr>
          <w:b/>
          <w:bCs/>
        </w:rPr>
        <w:t xml:space="preserve">Our response:</w:t>
      </w:r>
      <w:r>
        <w:t xml:space="preserve"> </w:t>
      </w:r>
      <w:r>
        <w:t xml:space="preserve">Even accepting that "modified release" excludes IR, it was OBVIOUS to make an ER formulation. The prior art established: (1) oral minoxidil works for hair loss, (2) the therapeutic PK range was known, (3) side effects were Cmax-related, and (4) ER formulation reduces Cmax. A POSITA would have combined these teachings with reasonable expectation of success.</w:t>
      </w:r>
    </w:p>
    <w:p>
      <w:pPr>
        <w:pStyle w:val="BodyText"/>
      </w:pPr>
      <w:r>
        <w:t xml:space="preserve">The claims cannot escape the "anticipation vs. obviousness" dilemma we identified.</w:t>
      </w:r>
    </w:p>
    <w:bookmarkEnd w:id="31"/>
    <w:bookmarkStart w:id="32" w:name="Xf1abc68ab1b41f349f334b1cd7f6d9ba106269b"/>
    <w:p>
      <w:pPr>
        <w:pStyle w:val="Heading3"/>
      </w:pPr>
      <w:r>
        <w:t xml:space="preserve">Counter to "No Reasonable Expectation of Success"</w:t>
      </w:r>
    </w:p>
    <w:p>
      <w:pPr>
        <w:pStyle w:val="FirstParagraph"/>
      </w:pPr>
      <w:r>
        <w:rPr>
          <w:b/>
          <w:bCs/>
        </w:rPr>
        <w:t xml:space="preserve">Our response:</w:t>
      </w:r>
      <w:r>
        <w:t xml:space="preserve"> </w:t>
      </w:r>
      <w:r>
        <w:t xml:space="preserve">By 2020, systematic reviews documented thousands of patients safely treated with low-dose oral minoxidil for hair loss. Sharma 2020 reviewed 19,218 patients. The safety at low doses was established, not speculative. The therapeutic window WAS known from off-label clinical practice.</w:t>
      </w:r>
    </w:p>
    <w:bookmarkEnd w:id="32"/>
    <w:bookmarkStart w:id="33" w:name="counter-to-teaching-away"/>
    <w:p>
      <w:pPr>
        <w:pStyle w:val="Heading3"/>
      </w:pPr>
      <w:r>
        <w:t xml:space="preserve">Counter to "Teaching Away"</w:t>
      </w:r>
    </w:p>
    <w:p>
      <w:pPr>
        <w:pStyle w:val="FirstParagraph"/>
      </w:pPr>
      <w:r>
        <w:rPr>
          <w:b/>
          <w:bCs/>
        </w:rPr>
        <w:t xml:space="preserve">Our response:</w:t>
      </w:r>
      <w:r>
        <w:t xml:space="preserve"> </w:t>
      </w:r>
      <w:r>
        <w:t xml:space="preserve">The prior art directly contradicts teaching away. Sinclair 2018, Randolph 2021, and Jimenez-Cauhe 2020 all document dermatologists actively using oral minoxidil for hair loss DESPITE the Loniten warnings. The existence of widespread off-label prescribing proves motivation existed.</w:t>
      </w:r>
    </w:p>
    <w:bookmarkEnd w:id="33"/>
    <w:bookmarkStart w:id="34" w:name="counter-to-doctrine-of-equivalents"/>
    <w:p>
      <w:pPr>
        <w:pStyle w:val="Heading3"/>
      </w:pPr>
      <w:r>
        <w:t xml:space="preserve">Counter to Doctrine of Equivalents</w:t>
      </w:r>
    </w:p>
    <w:p>
      <w:pPr>
        <w:pStyle w:val="FirstParagraph"/>
      </w:pPr>
      <w:r>
        <w:rPr>
          <w:b/>
          <w:bCs/>
        </w:rPr>
        <w:t xml:space="preserve">Our response:</w:t>
      </w:r>
    </w:p>
    <w:p>
      <w:pPr>
        <w:pStyle w:val="Compact"/>
        <w:numPr>
          <w:ilvl w:val="0"/>
          <w:numId w:val="1007"/>
        </w:numPr>
      </w:pPr>
      <w:r>
        <w:rPr>
          <w:b/>
          <w:bCs/>
        </w:rPr>
        <w:t xml:space="preserve">Different "Way":</w:t>
      </w:r>
      <w:r>
        <w:t xml:space="preserve"> </w:t>
      </w:r>
      <w:r>
        <w:t xml:space="preserve">HPMC swells and forms a gel layer; lipids do NOT swell or form gels. The release mechanisms are fundamentally different at the molecular level.</w:t>
      </w:r>
    </w:p>
    <w:p>
      <w:pPr>
        <w:pStyle w:val="Compact"/>
        <w:numPr>
          <w:ilvl w:val="0"/>
          <w:numId w:val="1007"/>
        </w:numPr>
      </w:pPr>
      <w:r>
        <w:rPr>
          <w:b/>
          <w:bCs/>
        </w:rPr>
        <w:t xml:space="preserve">Disclosure-Dedication Rule:</w:t>
      </w:r>
      <w:r>
        <w:t xml:space="preserve"> </w:t>
      </w:r>
      <w:r>
        <w:t xml:space="preserve">Following</w:t>
      </w:r>
      <w:r>
        <w:t xml:space="preserve"> </w:t>
      </w:r>
      <w:r>
        <w:t xml:space="preserve">Indivior v. Dr. Reddy's</w:t>
      </w:r>
      <w:r>
        <w:t xml:space="preserve">, if alternatives are disclosed but not claimed, they are dedicated to the public.</w:t>
      </w:r>
    </w:p>
    <w:p>
      <w:pPr>
        <w:pStyle w:val="Compact"/>
        <w:numPr>
          <w:ilvl w:val="0"/>
          <w:numId w:val="1007"/>
        </w:numPr>
      </w:pPr>
      <w:r>
        <w:rPr>
          <w:b/>
          <w:bCs/>
        </w:rPr>
        <w:t xml:space="preserve">Prosecution History Estoppel:</w:t>
      </w:r>
      <w:r>
        <w:t xml:space="preserve"> </w:t>
      </w:r>
      <w:r>
        <w:t xml:space="preserve">If Veradermics narrowed claims during prosecution to HPMC-based systems, they cannot now expand via equivalents.</w:t>
      </w:r>
    </w:p>
    <w:p>
      <w:pPr>
        <w:pStyle w:val="Compact"/>
        <w:numPr>
          <w:ilvl w:val="0"/>
          <w:numId w:val="1007"/>
        </w:numPr>
      </w:pPr>
      <w:r>
        <w:rPr>
          <w:b/>
          <w:bCs/>
        </w:rPr>
        <w:t xml:space="preserve">Vitiation:</w:t>
      </w:r>
      <w:r>
        <w:t xml:space="preserve"> </w:t>
      </w:r>
      <w:r>
        <w:t xml:space="preserve">Finding lipids equivalent would vitiate the "release modifier" limitation entirely.</w:t>
      </w:r>
    </w:p>
    <w:bookmarkEnd w:id="34"/>
    <w:bookmarkStart w:id="35" w:name="counter-to-unexpected-results"/>
    <w:p>
      <w:pPr>
        <w:pStyle w:val="Heading3"/>
      </w:pPr>
      <w:r>
        <w:t xml:space="preserve">Counter to "Unexpected Results"</w:t>
      </w:r>
    </w:p>
    <w:p>
      <w:pPr>
        <w:pStyle w:val="FirstParagraph"/>
      </w:pPr>
      <w:r>
        <w:rPr>
          <w:b/>
          <w:bCs/>
        </w:rPr>
        <w:t xml:space="preserve">Our response:</w:t>
      </w:r>
      <w:r>
        <w:t xml:space="preserve"> </w:t>
      </w:r>
      <w:r>
        <w:t xml:space="preserve">The results are EXACTLY what a POSITA would predict from an ER formulation:</w:t>
      </w:r>
    </w:p>
    <w:p>
      <w:pPr>
        <w:pStyle w:val="Compact"/>
        <w:numPr>
          <w:ilvl w:val="0"/>
          <w:numId w:val="1008"/>
        </w:numPr>
      </w:pPr>
      <w:r>
        <w:t xml:space="preserve">Reduced Cmax vs. IR? Expected effect of ER.</w:t>
      </w:r>
    </w:p>
    <w:p>
      <w:pPr>
        <w:pStyle w:val="Compact"/>
        <w:numPr>
          <w:ilvl w:val="0"/>
          <w:numId w:val="1008"/>
        </w:numPr>
      </w:pPr>
      <w:r>
        <w:t xml:space="preserve">Delayed Tmax vs. IR? Expected effect of ER.</w:t>
      </w:r>
    </w:p>
    <w:p>
      <w:pPr>
        <w:pStyle w:val="Compact"/>
        <w:numPr>
          <w:ilvl w:val="0"/>
          <w:numId w:val="1008"/>
        </w:numPr>
      </w:pPr>
      <w:r>
        <w:t xml:space="preserve">Extended duration above threshold? Expected effect of ER.</w:t>
      </w:r>
    </w:p>
    <w:p>
      <w:pPr>
        <w:pStyle w:val="Compact"/>
        <w:numPr>
          <w:ilvl w:val="0"/>
          <w:numId w:val="1008"/>
        </w:numPr>
      </w:pPr>
      <w:r>
        <w:t xml:space="preserve">Hair growth efficacy maintained? Oral minoxidil was already known to work.</w:t>
      </w:r>
    </w:p>
    <w:p>
      <w:pPr>
        <w:pStyle w:val="Compact"/>
        <w:numPr>
          <w:ilvl w:val="0"/>
          <w:numId w:val="1008"/>
        </w:numPr>
      </w:pPr>
      <w:r>
        <w:t xml:space="preserve">Reduced CV side effects? Lower Cmax predictably reduces peak-related effects.</w:t>
      </w:r>
    </w:p>
    <w:p>
      <w:pPr>
        <w:pStyle w:val="FirstParagraph"/>
      </w:pPr>
      <w:r>
        <w:t xml:space="preserve">There is nothing unexpected about an ER formulation performing as an ER formulation should perform.</w:t>
      </w:r>
    </w:p>
    <w:bookmarkEnd w:id="35"/>
    <w:bookmarkEnd w:id="36"/>
    <w:bookmarkStart w:id="38" w:name="verdict"/>
    <w:p>
      <w:pPr>
        <w:pStyle w:val="Heading2"/>
      </w:pPr>
      <w:r>
        <w:t xml:space="preserve">7. Overall Risk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Category</w:t>
            </w:r>
          </w:p>
        </w:tc>
        <w:tc>
          <w:tcPr/>
          <w:p>
            <w:pPr>
              <w:pStyle w:val="Compact"/>
            </w:pPr>
            <w:r>
              <w:t xml:space="preserve">Level</w:t>
            </w:r>
          </w:p>
        </w:tc>
        <w:tc>
          <w:tcPr/>
          <w:p>
            <w:pPr>
              <w:pStyle w:val="Compact"/>
            </w:pPr>
            <w:r>
              <w:t xml:space="preserve">Assessment</w:t>
            </w:r>
          </w:p>
        </w:tc>
      </w:tr>
      <w:tr>
        <w:tc>
          <w:tcPr/>
          <w:p>
            <w:pPr>
              <w:pStyle w:val="Compact"/>
            </w:pPr>
            <w:r>
              <w:t xml:space="preserve">Patent Validity (IPR Success)</w:t>
            </w:r>
          </w:p>
        </w:tc>
        <w:tc>
          <w:tcPr/>
          <w:p>
            <w:pPr>
              <w:pStyle w:val="Compact"/>
            </w:pPr>
            <w:r>
              <w:t xml:space="preserve">MEDIUM-HIGH</w:t>
            </w:r>
          </w:p>
        </w:tc>
        <w:tc>
          <w:tcPr/>
          <w:p>
            <w:pPr>
              <w:pStyle w:val="Compact"/>
            </w:pPr>
            <w:r>
              <w:t xml:space="preserve">Our IPR arguments are strong, but Veradermics has reasonable defenses. Lead with obviousness, not anticipation.</w:t>
            </w:r>
          </w:p>
        </w:tc>
      </w:tr>
      <w:tr>
        <w:tc>
          <w:tcPr/>
          <w:p>
            <w:pPr>
              <w:pStyle w:val="Compact"/>
            </w:pPr>
            <w:r>
              <w:t xml:space="preserve">Literal Infringement (Lipid Matrix)</w:t>
            </w:r>
          </w:p>
        </w:tc>
        <w:tc>
          <w:tcPr/>
          <w:p>
            <w:pPr>
              <w:pStyle w:val="Compact"/>
            </w:pPr>
            <w:r>
              <w:t xml:space="preserve">LOW</w:t>
            </w:r>
          </w:p>
        </w:tc>
        <w:tc>
          <w:tcPr/>
          <w:p>
            <w:pPr>
              <w:pStyle w:val="Compact"/>
            </w:pPr>
            <w:r>
              <w:t xml:space="preserve">Lipid matrix is structurally distinct from HPMC. Claims likely don't literally cover our formulation.</w:t>
            </w:r>
          </w:p>
        </w:tc>
      </w:tr>
      <w:tr>
        <w:tc>
          <w:tcPr/>
          <w:p>
            <w:pPr>
              <w:pStyle w:val="Compact"/>
            </w:pPr>
            <w:r>
              <w:t xml:space="preserve">Doctrine of Equivalents</w:t>
            </w:r>
          </w:p>
        </w:tc>
        <w:tc>
          <w:tcPr/>
          <w:p>
            <w:pPr>
              <w:pStyle w:val="Compact"/>
            </w:pPr>
            <w:r>
              <w:t xml:space="preserve">MEDIUM</w:t>
            </w:r>
          </w:p>
        </w:tc>
        <w:tc>
          <w:tcPr/>
          <w:p>
            <w:pPr>
              <w:pStyle w:val="Compact"/>
            </w:pPr>
            <w:r>
              <w:t xml:space="preserve">This is our biggest risk. Function-way-result analysis could go either way. Prepare strong technical differentiation.</w:t>
            </w:r>
          </w:p>
        </w:tc>
      </w:tr>
      <w:tr>
        <w:tc>
          <w:tcPr/>
          <w:p>
            <w:pPr>
              <w:pStyle w:val="Compact"/>
            </w:pPr>
            <w:r>
              <w:t xml:space="preserve">Sinclair Patent (US10226462B2)</w:t>
            </w:r>
          </w:p>
        </w:tc>
        <w:tc>
          <w:tcPr/>
          <w:p>
            <w:pPr>
              <w:pStyle w:val="Compact"/>
            </w:pPr>
            <w:r>
              <w:t xml:space="preserve">LOW</w:t>
            </w:r>
          </w:p>
        </w:tc>
        <w:tc>
          <w:tcPr/>
          <w:p>
            <w:pPr>
              <w:pStyle w:val="Compact"/>
            </w:pPr>
            <w:r>
              <w:t xml:space="preserve">IR-only claims, ultra-low dose range. Our ER lipid matrix at 2.5-5mg clearly differentiates.</w:t>
            </w:r>
          </w:p>
        </w:tc>
      </w:tr>
    </w:tbl>
    <w:p>
      <w:pPr>
        <w:pStyle w:val="BodyText"/>
      </w:pPr>
      <w:r>
        <w:t xml:space="preserve">OVERALL VERDICT: Proceed with lipid matrix ER development.</w:t>
      </w:r>
      <w:r>
        <w:br/>
      </w:r>
      <w:r>
        <w:t xml:space="preserve">Key risks are manageable with proper documentation and technical differentiation.</w:t>
      </w:r>
    </w:p>
    <w:bookmarkStart w:id="37" w:name="strategic-recommendations"/>
    <w:p>
      <w:pPr>
        <w:pStyle w:val="Heading3"/>
      </w:pPr>
      <w:r>
        <w:t xml:space="preserve">Strategic Recommendations</w:t>
      </w:r>
    </w:p>
    <w:p>
      <w:pPr>
        <w:pStyle w:val="Compact"/>
        <w:numPr>
          <w:ilvl w:val="0"/>
          <w:numId w:val="1009"/>
        </w:numPr>
      </w:pPr>
      <w:r>
        <w:rPr>
          <w:b/>
          <w:bCs/>
        </w:rPr>
        <w:t xml:space="preserve">Document technical differences aggressively:</w:t>
      </w:r>
      <w:r>
        <w:t xml:space="preserve"> </w:t>
      </w:r>
      <w:r>
        <w:t xml:space="preserve">Create expert declarations emphasizing mechanistic differences between HPMC gel and lipid erosion</w:t>
      </w:r>
    </w:p>
    <w:p>
      <w:pPr>
        <w:pStyle w:val="Compact"/>
        <w:numPr>
          <w:ilvl w:val="0"/>
          <w:numId w:val="1009"/>
        </w:numPr>
      </w:pPr>
      <w:r>
        <w:rPr>
          <w:b/>
          <w:bCs/>
        </w:rPr>
        <w:t xml:space="preserve">Avoid public equivalence statements:</w:t>
      </w:r>
      <w:r>
        <w:t xml:space="preserve"> </w:t>
      </w:r>
      <w:r>
        <w:t xml:space="preserve">Never describe our formulation as "equivalent" or "similar" to Veradermics' technology</w:t>
      </w:r>
    </w:p>
    <w:p>
      <w:pPr>
        <w:pStyle w:val="Compact"/>
        <w:numPr>
          <w:ilvl w:val="0"/>
          <w:numId w:val="1009"/>
        </w:numPr>
      </w:pPr>
      <w:r>
        <w:rPr>
          <w:b/>
          <w:bCs/>
        </w:rPr>
        <w:t xml:space="preserve">Lead IPR with obviousness:</w:t>
      </w:r>
      <w:r>
        <w:t xml:space="preserve"> </w:t>
      </w:r>
      <w:r>
        <w:t xml:space="preserve">The anticipation argument is weaker; focus on §103 grounds</w:t>
      </w:r>
    </w:p>
    <w:p>
      <w:pPr>
        <w:pStyle w:val="Compact"/>
        <w:numPr>
          <w:ilvl w:val="0"/>
          <w:numId w:val="1009"/>
        </w:numPr>
      </w:pPr>
      <w:r>
        <w:rPr>
          <w:b/>
          <w:bCs/>
        </w:rPr>
        <w:t xml:space="preserve">Consider PK differentiation:</w:t>
      </w:r>
      <w:r>
        <w:t xml:space="preserve"> </w:t>
      </w:r>
      <w:r>
        <w:t xml:space="preserve">If feasible, target Tmax &gt; 6 hours to fall outside claimed range</w:t>
      </w:r>
    </w:p>
    <w:p>
      <w:pPr>
        <w:pStyle w:val="Compact"/>
        <w:numPr>
          <w:ilvl w:val="0"/>
          <w:numId w:val="1009"/>
        </w:numPr>
      </w:pPr>
      <w:r>
        <w:rPr>
          <w:b/>
          <w:bCs/>
        </w:rPr>
        <w:t xml:space="preserve">Prepare invalidity contentions:</w:t>
      </w:r>
      <w:r>
        <w:t xml:space="preserve"> </w:t>
      </w:r>
      <w:r>
        <w:t xml:space="preserve">Have comprehensive prior art package ready for any litigation</w:t>
      </w:r>
    </w:p>
    <w:p>
      <w:pPr>
        <w:pStyle w:val="Compact"/>
        <w:numPr>
          <w:ilvl w:val="0"/>
          <w:numId w:val="1009"/>
        </w:numPr>
      </w:pPr>
      <w:r>
        <w:rPr>
          <w:b/>
          <w:bCs/>
        </w:rPr>
        <w:t xml:space="preserve">File defensive patent:</w:t>
      </w:r>
      <w:r>
        <w:t xml:space="preserve"> </w:t>
      </w:r>
      <w:r>
        <w:t xml:space="preserve">Consider patenting our specific lipid matrix ER technology</w:t>
      </w:r>
    </w:p>
    <w:p>
      <w:r>
        <w:pict>
          <v:rect style="width:0;height:1.5pt" o:hralign="center" o:hrstd="t" o:hr="t"/>
        </w:pict>
      </w:r>
    </w:p>
    <w:p>
      <w:pPr>
        <w:pStyle w:val="FirstParagraph"/>
      </w:pPr>
      <w:r>
        <w:rPr>
          <w:i/>
          <w:iCs/>
        </w:rPr>
        <w:t xml:space="preserve">This document presents adversarial arguments for strategic planning purposes. It does not constitute legal advice. Engage patent counsel for formal opinions.</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Veradermics Patent Steelman Analysis - Know Your Enemy</dc:title>
  <dc:creator/>
  <dc:language>en</dc:language>
  <cp:keywords/>
  <dcterms:created xsi:type="dcterms:W3CDTF">2026-02-05T15:29:16Z</dcterms:created>
  <dcterms:modified xsi:type="dcterms:W3CDTF">2026-02-05T15:29:16Z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