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IPR Petition Draft - US Patent 12,268,688 B2</w:t>
      </w:r>
    </w:p>
    <w:p>
      <w:pPr>
        <w:pStyle w:val="FirstParagraph"/>
      </w:pPr>
      <w:r>
        <w:rPr>
          <w:b/>
          <w:bCs/>
        </w:rPr>
        <w:t xml:space="preserve">DRAFT DOCUMENT - FOR REVIEW BY PATENT COUNSEL</w:t>
      </w:r>
      <w:r>
        <w:br/>
      </w:r>
      <w:r>
        <w:t xml:space="preserve">This petition draft requires review and finalization by a registered patent attorney before filing.</w:t>
      </w:r>
    </w:p>
    <w:p>
      <w:pPr>
        <w:pStyle w:val="BodyText"/>
      </w:pPr>
      <w:r>
        <w:rPr>
          <w:b/>
          <w:bCs/>
        </w:rPr>
        <w:t xml:space="preserve">UNITED STATES PATENT AND TRADEMARK OFFICE</w:t>
      </w:r>
    </w:p>
    <w:p>
      <w:pPr>
        <w:pStyle w:val="BodyText"/>
      </w:pPr>
      <w:r>
        <w:rPr>
          <w:b/>
          <w:bCs/>
        </w:rPr>
        <w:t xml:space="preserve">BEFORE THE PATENT TRIAL AND APPEAL BOARD</w:t>
      </w:r>
    </w:p>
    <w:p>
      <w:r>
        <w:pict>
          <v:rect style="width:0;height:1.5pt" o:hralign="center" o:hrstd="t" o:hr="t"/>
        </w:pict>
      </w:r>
    </w:p>
    <w:p>
      <w:pPr>
        <w:pStyle w:val="FirstParagraph"/>
      </w:pPr>
      <w:r>
        <w:rPr>
          <w:b/>
          <w:bCs/>
        </w:rPr>
        <w:t xml:space="preserve">PETITION FOR INTER PARTES REVIEW</w:t>
      </w:r>
    </w:p>
    <w:p>
      <w:pPr>
        <w:pStyle w:val="BodyText"/>
      </w:pPr>
      <w:r>
        <w:rPr>
          <w:b/>
          <w:bCs/>
        </w:rPr>
        <w:t xml:space="preserve">OF U.S. PATENT NO. 12,268,688 B2</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Patent Owner:</w:t>
            </w:r>
            <w:r>
              <w:br/>
            </w:r>
            <w:r>
              <w:t xml:space="preserve">Veradermics, Inc.</w:t>
            </w:r>
          </w:p>
        </w:tc>
        <w:tc>
          <w:tcPr/>
          <w:p>
            <w:pPr>
              <w:pStyle w:val="Compact"/>
            </w:pPr>
            <w:r>
              <w:rPr>
                <w:b/>
                <w:bCs/>
              </w:rPr>
              <w:t xml:space="preserve">Case No.:</w:t>
            </w:r>
            <w:r>
              <w:br/>
            </w:r>
            <w:r>
              <w:t xml:space="preserve">IPR20__-_____</w:t>
            </w:r>
          </w:p>
        </w:tc>
      </w:tr>
    </w:tbl>
    <w:bookmarkStart w:id="48" w:name="X681bcbd8608eb8641ae5205f27f97e50c60287f"/>
    <w:p>
      <w:pPr>
        <w:pStyle w:val="Heading1"/>
      </w:pPr>
      <w:r>
        <w:t xml:space="preserve">Petition for Inter Partes Review of U.S. Patent No. 12,268,688 B2</w:t>
      </w:r>
    </w:p>
    <w:bookmarkStart w:id="9" w:name="i.-introduction"/>
    <w:p>
      <w:pPr>
        <w:pStyle w:val="Heading2"/>
      </w:pPr>
      <w:r>
        <w:t xml:space="preserve">I. Introduction</w:t>
      </w:r>
    </w:p>
    <w:p>
      <w:pPr>
        <w:pStyle w:val="FirstParagraph"/>
      </w:pPr>
      <w:r>
        <w:t xml:space="preserve">Petitioner respectfully requests inter partes review of claims 1-2, 12, 14, 18, and 24 of U.S. Patent No. 12,268,688 B2 ("the '688 patent"), entitled "Compositions and Methods of Use for Modified Release Minoxidil," assigned to Veradermics, Inc.</w:t>
      </w:r>
    </w:p>
    <w:p>
      <w:pPr>
        <w:pStyle w:val="BodyText"/>
      </w:pPr>
      <w:r>
        <w:t xml:space="preserve">As demonstrated below, the challenged claims are unpatentable as anticipated under 35 U.S.C. § 102 and/or obvious under 35 U.S.C. § 103 over prior art that was not considered by the Examiner during prosecution.</w:t>
      </w:r>
    </w:p>
    <w:bookmarkEnd w:id="9"/>
    <w:bookmarkStart w:id="14" w:name="X973691a82f794b03013fbdc8eb7dde73b5da516"/>
    <w:p>
      <w:pPr>
        <w:pStyle w:val="Heading2"/>
      </w:pPr>
      <w:r>
        <w:t xml:space="preserve">II. Mandatory Notices Under 37 C.F.R. § 42.8</w:t>
      </w:r>
    </w:p>
    <w:bookmarkStart w:id="10" w:name="X2e010757b1e06c98590a02c92457abc5b5a33ec"/>
    <w:p>
      <w:pPr>
        <w:pStyle w:val="Heading3"/>
      </w:pPr>
      <w:r>
        <w:t xml:space="preserve">A. Real Party-in-Interest (37 C.F.R. § 42.8(b)(1))</w:t>
      </w:r>
    </w:p>
    <w:p>
      <w:pPr>
        <w:pStyle w:val="FirstParagraph"/>
      </w:pPr>
      <w:r>
        <w:t xml:space="preserve">[To be completed by Petitioner]</w:t>
      </w:r>
    </w:p>
    <w:bookmarkEnd w:id="10"/>
    <w:bookmarkStart w:id="11" w:name="b.-related-matters-37-c.f.r.-42.8b2"/>
    <w:p>
      <w:pPr>
        <w:pStyle w:val="Heading3"/>
      </w:pPr>
      <w:r>
        <w:t xml:space="preserve">B. Related Matters (37 C.F.R. § 42.8(b)(2))</w:t>
      </w:r>
    </w:p>
    <w:p>
      <w:pPr>
        <w:pStyle w:val="FirstParagraph"/>
      </w:pPr>
      <w:r>
        <w:t xml:space="preserve">[To be completed - identify any related litigation or proceedings]</w:t>
      </w:r>
    </w:p>
    <w:bookmarkEnd w:id="11"/>
    <w:bookmarkStart w:id="12" w:name="X073c49e8ac515b994cf35f1396636545cc42c27"/>
    <w:p>
      <w:pPr>
        <w:pStyle w:val="Heading3"/>
      </w:pPr>
      <w:r>
        <w:t xml:space="preserve">C. Lead and Backup Counsel (37 C.F.R. § 42.8(b)(3))</w:t>
      </w:r>
    </w:p>
    <w:p>
      <w:pPr>
        <w:pStyle w:val="FirstParagraph"/>
      </w:pPr>
      <w:r>
        <w:t xml:space="preserve">[To be completed by counsel]</w:t>
      </w:r>
    </w:p>
    <w:bookmarkEnd w:id="12"/>
    <w:bookmarkStart w:id="13" w:name="d.-service-information-37-c.f.r.-42.8b4"/>
    <w:p>
      <w:pPr>
        <w:pStyle w:val="Heading3"/>
      </w:pPr>
      <w:r>
        <w:t xml:space="preserve">D. Service Information (37 C.F.R. § 42.8(b)(4))</w:t>
      </w:r>
    </w:p>
    <w:p>
      <w:pPr>
        <w:pStyle w:val="FirstParagraph"/>
      </w:pPr>
      <w:r>
        <w:t xml:space="preserve">[To be completed]</w:t>
      </w:r>
    </w:p>
    <w:bookmarkEnd w:id="13"/>
    <w:bookmarkEnd w:id="14"/>
    <w:bookmarkStart w:id="15" w:name="iii.-payment-of-fees-37-c.f.r.-42.103"/>
    <w:p>
      <w:pPr>
        <w:pStyle w:val="Heading2"/>
      </w:pPr>
      <w:r>
        <w:t xml:space="preserve">III. Payment of Fees (37 C.F.R. § 42.103)</w:t>
      </w:r>
    </w:p>
    <w:p>
      <w:pPr>
        <w:pStyle w:val="FirstParagraph"/>
      </w:pPr>
      <w:r>
        <w:t xml:space="preserve">Petitioner authorizes the Office to charge the required fees to Deposit Account No. [_____]. The undersigned further authorizes payment for any additional fees that may be due in connection with this Petition.</w:t>
      </w:r>
    </w:p>
    <w:bookmarkEnd w:id="15"/>
    <w:bookmarkStart w:id="16" w:name="X5589d01f7cb40f0f77c682a324a65593b3afd1c"/>
    <w:p>
      <w:pPr>
        <w:pStyle w:val="Heading2"/>
      </w:pPr>
      <w:r>
        <w:t xml:space="preserve">IV. Grounds for Standing (37 C.F.R. § 42.104(a))</w:t>
      </w:r>
    </w:p>
    <w:p>
      <w:pPr>
        <w:pStyle w:val="FirstParagraph"/>
      </w:pPr>
      <w:r>
        <w:t xml:space="preserve">Petitioner certifies that the '688 patent is available for inter partes review. The patent issued on April 8, 2025. More than nine months have passed since issuance, satisfying the timing requirement of 35 U.S.C. § 311(c). Petitioner is not barred or estopped from requesting this review.</w:t>
      </w:r>
    </w:p>
    <w:bookmarkEnd w:id="16"/>
    <w:bookmarkStart w:id="19" w:name="Xc135d8702ed8283784651b5b6f14025aa7c34a7"/>
    <w:p>
      <w:pPr>
        <w:pStyle w:val="Heading2"/>
      </w:pPr>
      <w:r>
        <w:t xml:space="preserve">V. Identification of Challenge (37 C.F.R. § 42.104(b))</w:t>
      </w:r>
    </w:p>
    <w:bookmarkStart w:id="17" w:name="a.-claims-challenged"/>
    <w:p>
      <w:pPr>
        <w:pStyle w:val="Heading3"/>
      </w:pPr>
      <w:r>
        <w:t xml:space="preserve">A. Claims Challenged</w:t>
      </w:r>
    </w:p>
    <w:p>
      <w:pPr>
        <w:pStyle w:val="FirstParagraph"/>
      </w:pPr>
      <w:r>
        <w:t xml:space="preserve">Petitioner challenges</w:t>
      </w:r>
      <w:r>
        <w:t xml:space="preserve"> </w:t>
      </w:r>
      <w:r>
        <w:rPr>
          <w:b/>
          <w:bCs/>
        </w:rPr>
        <w:t xml:space="preserve">Claims 1, 2, 12, 14, 18, and 24</w:t>
      </w:r>
      <w:r>
        <w:t xml:space="preserve"> </w:t>
      </w:r>
      <w:r>
        <w:t xml:space="preserve">of the '688 patent.</w:t>
      </w:r>
    </w:p>
    <w:bookmarkEnd w:id="17"/>
    <w:bookmarkStart w:id="18" w:name="b.-statutory-grounds-for-challenge"/>
    <w:p>
      <w:pPr>
        <w:pStyle w:val="Heading3"/>
      </w:pPr>
      <w:r>
        <w:t xml:space="preserve">B. Statutory Grounds for Challenge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Ground</w:t>
            </w:r>
          </w:p>
        </w:tc>
        <w:tc>
          <w:tcPr/>
          <w:p>
            <w:pPr>
              <w:pStyle w:val="Compact"/>
            </w:pPr>
            <w:r>
              <w:t xml:space="preserve">Claims Challenged</w:t>
            </w:r>
          </w:p>
        </w:tc>
        <w:tc>
          <w:tcPr/>
          <w:p>
            <w:pPr>
              <w:pStyle w:val="Compact"/>
            </w:pPr>
            <w:r>
              <w:t xml:space="preserve">Statutory Basis</w:t>
            </w:r>
          </w:p>
        </w:tc>
        <w:tc>
          <w:tcPr/>
          <w:p>
            <w:pPr>
              <w:pStyle w:val="Compact"/>
            </w:pPr>
            <w:r>
              <w:t xml:space="preserve">Prior Art</w:t>
            </w:r>
          </w:p>
        </w:tc>
      </w:tr>
      <w:tr>
        <w:tc>
          <w:tcPr/>
          <w:p>
            <w:pPr>
              <w:pStyle w:val="Compact"/>
            </w:pPr>
            <w:r>
              <w:t xml:space="preserve">1</w:t>
            </w:r>
          </w:p>
        </w:tc>
        <w:tc>
          <w:tcPr/>
          <w:p>
            <w:pPr>
              <w:pStyle w:val="Compact"/>
            </w:pPr>
            <w:r>
              <w:t xml:space="preserve">1, 2, 14, 18, 24</w:t>
            </w:r>
          </w:p>
        </w:tc>
        <w:tc>
          <w:tcPr/>
          <w:p>
            <w:pPr>
              <w:pStyle w:val="Compact"/>
            </w:pPr>
            <w:r>
              <w:t xml:space="preserve">35 U.S.C. § 102(a)(1)</w:t>
            </w:r>
          </w:p>
        </w:tc>
        <w:tc>
          <w:tcPr/>
          <w:p>
            <w:pPr>
              <w:pStyle w:val="Compact"/>
            </w:pPr>
            <w:r>
              <w:t xml:space="preserve">Fleishaker 1989 in view of Sinclair 2018</w:t>
            </w:r>
          </w:p>
        </w:tc>
      </w:tr>
      <w:tr>
        <w:tc>
          <w:tcPr/>
          <w:p>
            <w:pPr>
              <w:pStyle w:val="Compact"/>
            </w:pPr>
            <w:r>
              <w:t xml:space="preserve">2</w:t>
            </w:r>
          </w:p>
        </w:tc>
        <w:tc>
          <w:tcPr/>
          <w:p>
            <w:pPr>
              <w:pStyle w:val="Compact"/>
            </w:pPr>
            <w:r>
              <w:t xml:space="preserve">1, 2, 12, 14, 18, 24</w:t>
            </w:r>
          </w:p>
        </w:tc>
        <w:tc>
          <w:tcPr/>
          <w:p>
            <w:pPr>
              <w:pStyle w:val="Compact"/>
            </w:pPr>
            <w:r>
              <w:t xml:space="preserve">35 U.S.C. § 103</w:t>
            </w:r>
          </w:p>
        </w:tc>
        <w:tc>
          <w:tcPr/>
          <w:p>
            <w:pPr>
              <w:pStyle w:val="Compact"/>
            </w:pPr>
            <w:r>
              <w:t xml:space="preserve">Fleishaker 1989 in view of Randolph 2021 and Jimenez-Cauhe 2020</w:t>
            </w:r>
          </w:p>
        </w:tc>
      </w:tr>
      <w:tr>
        <w:tc>
          <w:tcPr/>
          <w:p>
            <w:pPr>
              <w:pStyle w:val="Compact"/>
            </w:pPr>
            <w:r>
              <w:t xml:space="preserve">3</w:t>
            </w:r>
          </w:p>
        </w:tc>
        <w:tc>
          <w:tcPr/>
          <w:p>
            <w:pPr>
              <w:pStyle w:val="Compact"/>
            </w:pPr>
            <w:r>
              <w:t xml:space="preserve">1, 2, 14, 18, 24</w:t>
            </w:r>
          </w:p>
        </w:tc>
        <w:tc>
          <w:tcPr/>
          <w:p>
            <w:pPr>
              <w:pStyle w:val="Compact"/>
            </w:pPr>
            <w:r>
              <w:t xml:space="preserve">35 U.S.C. § 102(a)(1)</w:t>
            </w:r>
          </w:p>
        </w:tc>
        <w:tc>
          <w:tcPr/>
          <w:p>
            <w:pPr>
              <w:pStyle w:val="Compact"/>
            </w:pPr>
            <w:r>
              <w:t xml:space="preserve">Loniten FDA Label (2015) in view of Sharma 2020</w:t>
            </w:r>
          </w:p>
        </w:tc>
      </w:tr>
    </w:tbl>
    <w:bookmarkEnd w:id="18"/>
    <w:bookmarkEnd w:id="19"/>
    <w:bookmarkStart w:id="22" w:name="vi.-overview-of-the-688-patent"/>
    <w:p>
      <w:pPr>
        <w:pStyle w:val="Heading2"/>
      </w:pPr>
      <w:r>
        <w:t xml:space="preserve">VI. Overview of the '688 Patent</w:t>
      </w:r>
    </w:p>
    <w:bookmarkStart w:id="20" w:name="a.-technology-background"/>
    <w:p>
      <w:pPr>
        <w:pStyle w:val="Heading3"/>
      </w:pPr>
      <w:r>
        <w:t xml:space="preserve">A. Technology Background</w:t>
      </w:r>
    </w:p>
    <w:p>
      <w:pPr>
        <w:pStyle w:val="FirstParagraph"/>
      </w:pPr>
      <w:r>
        <w:t xml:space="preserve">The '688 patent relates to modified release formulations of minoxidil for treating hair loss. Minoxidil is a well-known drug that has been FDA-approved since 1979 for the treatment of hypertension (marketed as Loniten®) and since 1988 for topical treatment of androgenetic alopecia (marketed as Rogaine®).</w:t>
      </w:r>
    </w:p>
    <w:p>
      <w:pPr>
        <w:pStyle w:val="BodyText"/>
      </w:pPr>
      <w:r>
        <w:t xml:space="preserve">The use of oral minoxidil for hair loss treatment was well-established in the medical literature years before the priority date of the '688 patent (October 25, 2022). Multiple clinical studies demonstrated the efficacy and safety of low-dose oral minoxidil for treating various forms of alopecia.</w:t>
      </w:r>
    </w:p>
    <w:bookmarkEnd w:id="20"/>
    <w:bookmarkStart w:id="21" w:name="b.-summary-of-challenged-claims"/>
    <w:p>
      <w:pPr>
        <w:pStyle w:val="Heading3"/>
      </w:pPr>
      <w:r>
        <w:t xml:space="preserve">B. Summary of Challenged Claims</w:t>
      </w:r>
    </w:p>
    <w:p>
      <w:pPr>
        <w:pStyle w:val="FirstParagraph"/>
      </w:pPr>
      <w:r>
        <w:t xml:space="preserve">The challenged claims are method claims directed to treating hair loss by orally administering minoxidil formulations that achieve specific pharmacokinetic parameters:</w:t>
      </w:r>
    </w:p>
    <w:p>
      <w:pPr>
        <w:pStyle w:val="Compact"/>
        <w:numPr>
          <w:ilvl w:val="0"/>
          <w:numId w:val="1001"/>
        </w:numPr>
      </w:pPr>
      <w:r>
        <w:rPr>
          <w:b/>
          <w:bCs/>
        </w:rPr>
        <w:t xml:space="preserve">Claim 1:</w:t>
      </w:r>
      <w:r>
        <w:t xml:space="preserve"> </w:t>
      </w:r>
      <w:r>
        <w:t xml:space="preserve">Method of treating hair loss with 3.5-20 mg minoxidil achieving Cmax of 0.25-20 ng/mL and Tmax of 30-360 minutes</w:t>
      </w:r>
    </w:p>
    <w:p>
      <w:pPr>
        <w:pStyle w:val="Compact"/>
        <w:numPr>
          <w:ilvl w:val="0"/>
          <w:numId w:val="1001"/>
        </w:numPr>
      </w:pPr>
      <w:r>
        <w:rPr>
          <w:b/>
          <w:bCs/>
        </w:rPr>
        <w:t xml:space="preserve">Claim 2:</w:t>
      </w:r>
      <w:r>
        <w:t xml:space="preserve"> </w:t>
      </w:r>
      <w:r>
        <w:t xml:space="preserve">Adds "release modifier, filler, glidant, lubricant"</w:t>
      </w:r>
    </w:p>
    <w:p>
      <w:pPr>
        <w:pStyle w:val="Compact"/>
        <w:numPr>
          <w:ilvl w:val="0"/>
          <w:numId w:val="1001"/>
        </w:numPr>
      </w:pPr>
      <w:r>
        <w:rPr>
          <w:b/>
          <w:bCs/>
        </w:rPr>
        <w:t xml:space="preserve">Claim 12:</w:t>
      </w:r>
      <w:r>
        <w:t xml:space="preserve"> </w:t>
      </w:r>
      <w:r>
        <w:t xml:space="preserve">Release modifier at 50-80% w/w</w:t>
      </w:r>
    </w:p>
    <w:p>
      <w:pPr>
        <w:pStyle w:val="Compact"/>
        <w:numPr>
          <w:ilvl w:val="0"/>
          <w:numId w:val="1001"/>
        </w:numPr>
      </w:pPr>
      <w:r>
        <w:rPr>
          <w:b/>
          <w:bCs/>
        </w:rPr>
        <w:t xml:space="preserve">Claim 14:</w:t>
      </w:r>
      <w:r>
        <w:t xml:space="preserve"> </w:t>
      </w:r>
      <w:r>
        <w:t xml:space="preserve">Specific 4.5 mg dose</w:t>
      </w:r>
    </w:p>
    <w:p>
      <w:pPr>
        <w:pStyle w:val="Compact"/>
        <w:numPr>
          <w:ilvl w:val="0"/>
          <w:numId w:val="1001"/>
        </w:numPr>
      </w:pPr>
      <w:r>
        <w:rPr>
          <w:b/>
          <w:bCs/>
        </w:rPr>
        <w:t xml:space="preserve">Claim 18:</w:t>
      </w:r>
      <w:r>
        <w:t xml:space="preserve"> </w:t>
      </w:r>
      <w:r>
        <w:t xml:space="preserve">Specific 9 mg dose</w:t>
      </w:r>
    </w:p>
    <w:p>
      <w:pPr>
        <w:pStyle w:val="Compact"/>
        <w:numPr>
          <w:ilvl w:val="0"/>
          <w:numId w:val="1001"/>
        </w:numPr>
      </w:pPr>
      <w:r>
        <w:rPr>
          <w:b/>
          <w:bCs/>
        </w:rPr>
        <w:t xml:space="preserve">Claim 24:</w:t>
      </w:r>
      <w:r>
        <w:t xml:space="preserve"> </w:t>
      </w:r>
      <w:r>
        <w:t xml:space="preserve">Daily dose method with same PK parameters</w:t>
      </w:r>
    </w:p>
    <w:bookmarkEnd w:id="21"/>
    <w:bookmarkEnd w:id="22"/>
    <w:bookmarkStart w:id="30" w:name="vii.-prior-art"/>
    <w:p>
      <w:pPr>
        <w:pStyle w:val="Heading2"/>
      </w:pPr>
      <w:r>
        <w:t xml:space="preserve">VII. Prior Art</w:t>
      </w:r>
    </w:p>
    <w:bookmarkStart w:id="29" w:name="a.-primary-references"/>
    <w:p>
      <w:pPr>
        <w:pStyle w:val="Heading3"/>
      </w:pPr>
      <w:r>
        <w:t xml:space="preserve">A. Primary References</w:t>
      </w:r>
    </w:p>
    <w:bookmarkStart w:id="23" w:name="fleishaker-1989-exhibit-1001"/>
    <w:p>
      <w:pPr>
        <w:pStyle w:val="Heading4"/>
      </w:pPr>
      <w:r>
        <w:t xml:space="preserve">1. Fleishaker 1989 (Exhibit 1001)</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Citation:</w:t>
            </w:r>
          </w:p>
        </w:tc>
        <w:tc>
          <w:tcPr/>
          <w:p>
            <w:pPr>
              <w:pStyle w:val="Compact"/>
            </w:pPr>
            <w:r>
              <w:t xml:space="preserve">Fleishaker JC, Andreadis NA, Welshman IR, Wright CE 3rd. "The pharmacokinetics of 2.5- to 10-mg oral doses of minoxidil in healthy volunteers."</w:t>
            </w:r>
            <w:r>
              <w:t xml:space="preserve"> </w:t>
            </w:r>
            <w:r>
              <w:rPr>
                <w:i/>
                <w:iCs/>
              </w:rPr>
              <w:t xml:space="preserve">J Clin Pharmacol.</w:t>
            </w:r>
            <w:r>
              <w:t xml:space="preserve"> </w:t>
            </w:r>
            <w:r>
              <w:t xml:space="preserve">1989 Feb;29(2):162-7. PMID: 2715373.</w:t>
            </w:r>
          </w:p>
        </w:tc>
      </w:tr>
      <w:tr>
        <w:tc>
          <w:tcPr/>
          <w:p>
            <w:pPr>
              <w:pStyle w:val="Compact"/>
            </w:pPr>
            <w:r>
              <w:rPr>
                <w:b/>
                <w:bCs/>
              </w:rPr>
              <w:t xml:space="preserve">Publication Date:</w:t>
            </w:r>
          </w:p>
        </w:tc>
        <w:tc>
          <w:tcPr/>
          <w:p>
            <w:pPr>
              <w:pStyle w:val="Compact"/>
            </w:pPr>
            <w:r>
              <w:t xml:space="preserve">February 1989</w:t>
            </w:r>
          </w:p>
        </w:tc>
      </w:tr>
      <w:tr>
        <w:tc>
          <w:tcPr/>
          <w:p>
            <w:pPr>
              <w:pStyle w:val="Compact"/>
            </w:pPr>
            <w:r>
              <w:rPr>
                <w:b/>
                <w:bCs/>
              </w:rPr>
              <w:t xml:space="preserve">Relevance:</w:t>
            </w:r>
          </w:p>
        </w:tc>
        <w:tc>
          <w:tcPr/>
          <w:p>
            <w:pPr>
              <w:pStyle w:val="Compact"/>
            </w:pPr>
            <w:r>
              <w:t xml:space="preserve">Establishes PK parameters for oral minoxidil: Cmax ~17 ng/mL at 2.5mg dose, Tmax = 1 hour (60 minutes). These values fall squarely within the claimed ranges.</w:t>
            </w:r>
          </w:p>
        </w:tc>
      </w:tr>
    </w:tbl>
    <w:bookmarkEnd w:id="23"/>
    <w:bookmarkStart w:id="24" w:name="sinclair-2018-exhibit-1002"/>
    <w:p>
      <w:pPr>
        <w:pStyle w:val="Heading4"/>
      </w:pPr>
      <w:r>
        <w:t xml:space="preserve">2. Sinclair 2018 (Exhibit 1002)</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Citation:</w:t>
            </w:r>
          </w:p>
        </w:tc>
        <w:tc>
          <w:tcPr/>
          <w:p>
            <w:pPr>
              <w:pStyle w:val="Compact"/>
            </w:pPr>
            <w:r>
              <w:t xml:space="preserve">Sinclair RD. "Female pattern hair loss: a pilot study investigating combination therapy with low-dose oral minoxidil and spironolactone."</w:t>
            </w:r>
            <w:r>
              <w:t xml:space="preserve"> </w:t>
            </w:r>
            <w:r>
              <w:rPr>
                <w:i/>
                <w:iCs/>
              </w:rPr>
              <w:t xml:space="preserve">Int J Dermatol.</w:t>
            </w:r>
            <w:r>
              <w:t xml:space="preserve"> </w:t>
            </w:r>
            <w:r>
              <w:t xml:space="preserve">2018 Jan;57(1):104-109. PMID: 29231239.</w:t>
            </w:r>
          </w:p>
        </w:tc>
      </w:tr>
      <w:tr>
        <w:tc>
          <w:tcPr/>
          <w:p>
            <w:pPr>
              <w:pStyle w:val="Compact"/>
            </w:pPr>
            <w:r>
              <w:rPr>
                <w:b/>
                <w:bCs/>
              </w:rPr>
              <w:t xml:space="preserve">Publication Date:</w:t>
            </w:r>
          </w:p>
        </w:tc>
        <w:tc>
          <w:tcPr/>
          <w:p>
            <w:pPr>
              <w:pStyle w:val="Compact"/>
            </w:pPr>
            <w:r>
              <w:t xml:space="preserve">January 2018</w:t>
            </w:r>
          </w:p>
        </w:tc>
      </w:tr>
      <w:tr>
        <w:tc>
          <w:tcPr/>
          <w:p>
            <w:pPr>
              <w:pStyle w:val="Compact"/>
            </w:pPr>
            <w:r>
              <w:rPr>
                <w:b/>
                <w:bCs/>
              </w:rPr>
              <w:t xml:space="preserve">Relevance:</w:t>
            </w:r>
          </w:p>
        </w:tc>
        <w:tc>
          <w:tcPr/>
          <w:p>
            <w:pPr>
              <w:pStyle w:val="Compact"/>
            </w:pPr>
            <w:r>
              <w:t xml:space="preserve">Demonstrates oral minoxidil (0.25 mg) for treating hair loss in 100 patients. Shows efficacy with hair loss severity reduction of 1.3 points at 12 months.</w:t>
            </w:r>
          </w:p>
        </w:tc>
      </w:tr>
    </w:tbl>
    <w:bookmarkEnd w:id="24"/>
    <w:bookmarkStart w:id="25" w:name="randolph-2021-exhibit-1003"/>
    <w:p>
      <w:pPr>
        <w:pStyle w:val="Heading4"/>
      </w:pPr>
      <w:r>
        <w:t xml:space="preserve">3. Randolph 2021 (Exhibit 1003)</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Citation:</w:t>
            </w:r>
          </w:p>
        </w:tc>
        <w:tc>
          <w:tcPr/>
          <w:p>
            <w:pPr>
              <w:pStyle w:val="Compact"/>
            </w:pPr>
            <w:r>
              <w:t xml:space="preserve">Randolph M, Tosti A. "Oral minoxidil treatment for hair loss: A review of efficacy and safety."</w:t>
            </w:r>
            <w:r>
              <w:t xml:space="preserve"> </w:t>
            </w:r>
            <w:r>
              <w:rPr>
                <w:i/>
                <w:iCs/>
              </w:rPr>
              <w:t xml:space="preserve">J Am Acad Dermatol.</w:t>
            </w:r>
            <w:r>
              <w:t xml:space="preserve"> </w:t>
            </w:r>
            <w:r>
              <w:t xml:space="preserve">2021 Mar;84(3):737-746. PMID: 32622136.</w:t>
            </w:r>
          </w:p>
        </w:tc>
      </w:tr>
      <w:tr>
        <w:tc>
          <w:tcPr/>
          <w:p>
            <w:pPr>
              <w:pStyle w:val="Compact"/>
            </w:pPr>
            <w:r>
              <w:rPr>
                <w:b/>
                <w:bCs/>
              </w:rPr>
              <w:t xml:space="preserve">Publication Date:</w:t>
            </w:r>
          </w:p>
        </w:tc>
        <w:tc>
          <w:tcPr/>
          <w:p>
            <w:pPr>
              <w:pStyle w:val="Compact"/>
            </w:pPr>
            <w:r>
              <w:t xml:space="preserve">March 2021 (online June 2020)</w:t>
            </w:r>
          </w:p>
        </w:tc>
      </w:tr>
      <w:tr>
        <w:tc>
          <w:tcPr/>
          <w:p>
            <w:pPr>
              <w:pStyle w:val="Compact"/>
            </w:pPr>
            <w:r>
              <w:rPr>
                <w:b/>
                <w:bCs/>
              </w:rPr>
              <w:t xml:space="preserve">Relevance:</w:t>
            </w:r>
          </w:p>
        </w:tc>
        <w:tc>
          <w:tcPr/>
          <w:p>
            <w:pPr>
              <w:pStyle w:val="Compact"/>
            </w:pPr>
            <w:r>
              <w:t xml:space="preserve">Comprehensive review of 17 studies involving 634 patients. Establishes oral minoxidil as "effective and well-tolerated treatment" for hair loss including androgenetic alopecia.</w:t>
            </w:r>
          </w:p>
        </w:tc>
      </w:tr>
    </w:tbl>
    <w:bookmarkEnd w:id="25"/>
    <w:bookmarkStart w:id="26" w:name="jimenez-cauhe-2020-exhibit-1004"/>
    <w:p>
      <w:pPr>
        <w:pStyle w:val="Heading4"/>
      </w:pPr>
      <w:r>
        <w:t xml:space="preserve">4. Jimenez-Cauhe 2020 (Exhibit 1004)</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Citation:</w:t>
            </w:r>
          </w:p>
        </w:tc>
        <w:tc>
          <w:tcPr/>
          <w:p>
            <w:pPr>
              <w:pStyle w:val="Compact"/>
            </w:pPr>
            <w:r>
              <w:t xml:space="preserve">Jimenez-Cauhe J, et al. "Safety of low-dose oral minoxidil treatment for hair loss. A systematic review and pooled-analysis of individual patient data."</w:t>
            </w:r>
            <w:r>
              <w:t xml:space="preserve"> </w:t>
            </w:r>
            <w:r>
              <w:rPr>
                <w:i/>
                <w:iCs/>
              </w:rPr>
              <w:t xml:space="preserve">Dermatol Ther.</w:t>
            </w:r>
            <w:r>
              <w:t xml:space="preserve"> </w:t>
            </w:r>
            <w:r>
              <w:t xml:space="preserve">2020 Nov;33(6):e14106. PMID: 32757405.</w:t>
            </w:r>
          </w:p>
        </w:tc>
      </w:tr>
      <w:tr>
        <w:tc>
          <w:tcPr/>
          <w:p>
            <w:pPr>
              <w:pStyle w:val="Compact"/>
            </w:pPr>
            <w:r>
              <w:rPr>
                <w:b/>
                <w:bCs/>
              </w:rPr>
              <w:t xml:space="preserve">Publication Date:</w:t>
            </w:r>
          </w:p>
        </w:tc>
        <w:tc>
          <w:tcPr/>
          <w:p>
            <w:pPr>
              <w:pStyle w:val="Compact"/>
            </w:pPr>
            <w:r>
              <w:t xml:space="preserve">November 2020 (online August 2020)</w:t>
            </w:r>
          </w:p>
        </w:tc>
      </w:tr>
      <w:tr>
        <w:tc>
          <w:tcPr/>
          <w:p>
            <w:pPr>
              <w:pStyle w:val="Compact"/>
            </w:pPr>
            <w:r>
              <w:rPr>
                <w:b/>
                <w:bCs/>
              </w:rPr>
              <w:t xml:space="preserve">Relevance:</w:t>
            </w:r>
          </w:p>
        </w:tc>
        <w:tc>
          <w:tcPr/>
          <w:p>
            <w:pPr>
              <w:pStyle w:val="Compact"/>
            </w:pPr>
            <w:r>
              <w:t xml:space="preserve">Systematic review of 442 patients across 14 studies using oral minoxidil 0.25-5 mg for alopecia. Reports "clinical response in 70% to 100% of the patients" with androgenetic alopecia.</w:t>
            </w:r>
          </w:p>
        </w:tc>
      </w:tr>
    </w:tbl>
    <w:bookmarkEnd w:id="26"/>
    <w:bookmarkStart w:id="27" w:name="sharma-2020-exhibit-1005"/>
    <w:p>
      <w:pPr>
        <w:pStyle w:val="Heading4"/>
      </w:pPr>
      <w:r>
        <w:t xml:space="preserve">5. Sharma 2020 (Exhibit 1005)</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Citation:</w:t>
            </w:r>
          </w:p>
        </w:tc>
        <w:tc>
          <w:tcPr/>
          <w:p>
            <w:pPr>
              <w:pStyle w:val="Compact"/>
            </w:pPr>
            <w:r>
              <w:t xml:space="preserve">Sharma AN, Michelle L, Juhasz M, Muller Ramos P, Atanaskova Mesinkovska N. "Low-dose oral minoxidil as treatment for non-scarring alopecia: a systematic review."</w:t>
            </w:r>
            <w:r>
              <w:t xml:space="preserve"> </w:t>
            </w:r>
            <w:r>
              <w:rPr>
                <w:i/>
                <w:iCs/>
              </w:rPr>
              <w:t xml:space="preserve">Int J Dermatol.</w:t>
            </w:r>
            <w:r>
              <w:t xml:space="preserve"> </w:t>
            </w:r>
            <w:r>
              <w:t xml:space="preserve">2020 Aug;59(8):1013-1019. PMID: 32516434.</w:t>
            </w:r>
          </w:p>
        </w:tc>
      </w:tr>
      <w:tr>
        <w:tc>
          <w:tcPr/>
          <w:p>
            <w:pPr>
              <w:pStyle w:val="Compact"/>
            </w:pPr>
            <w:r>
              <w:rPr>
                <w:b/>
                <w:bCs/>
              </w:rPr>
              <w:t xml:space="preserve">Publication Date:</w:t>
            </w:r>
          </w:p>
        </w:tc>
        <w:tc>
          <w:tcPr/>
          <w:p>
            <w:pPr>
              <w:pStyle w:val="Compact"/>
            </w:pPr>
            <w:r>
              <w:t xml:space="preserve">August 2020 (online June 2020)</w:t>
            </w:r>
          </w:p>
        </w:tc>
      </w:tr>
      <w:tr>
        <w:tc>
          <w:tcPr/>
          <w:p>
            <w:pPr>
              <w:pStyle w:val="Compact"/>
            </w:pPr>
            <w:r>
              <w:rPr>
                <w:b/>
                <w:bCs/>
              </w:rPr>
              <w:t xml:space="preserve">Relevance:</w:t>
            </w:r>
          </w:p>
        </w:tc>
        <w:tc>
          <w:tcPr/>
          <w:p>
            <w:pPr>
              <w:pStyle w:val="Compact"/>
            </w:pPr>
            <w:r>
              <w:t xml:space="preserve">Systematic review of 19,218 patients. Shows "61-100% of patients demonstrating objective clinical improvement" in androgenetic alopecia with oral minoxidil.</w:t>
            </w:r>
          </w:p>
        </w:tc>
      </w:tr>
    </w:tbl>
    <w:bookmarkEnd w:id="27"/>
    <w:bookmarkStart w:id="28" w:name="loniten-fda-label-2015-exhibit-1006"/>
    <w:p>
      <w:pPr>
        <w:pStyle w:val="Heading4"/>
      </w:pPr>
      <w:r>
        <w:t xml:space="preserve">6. Loniten FDA Label 2015 (Exhibit 1006)</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Citation:</w:t>
            </w:r>
          </w:p>
        </w:tc>
        <w:tc>
          <w:tcPr/>
          <w:p>
            <w:pPr>
              <w:pStyle w:val="Compact"/>
            </w:pPr>
            <w:r>
              <w:t xml:space="preserve">Loniten® (minoxidil tablets, USP) Prescribing Information. FDA Reference ID: 3839461. Revised October 2015.</w:t>
            </w:r>
          </w:p>
        </w:tc>
      </w:tr>
      <w:tr>
        <w:tc>
          <w:tcPr/>
          <w:p>
            <w:pPr>
              <w:pStyle w:val="Compact"/>
            </w:pPr>
            <w:r>
              <w:rPr>
                <w:b/>
                <w:bCs/>
              </w:rPr>
              <w:t xml:space="preserve">Publication Date:</w:t>
            </w:r>
          </w:p>
        </w:tc>
        <w:tc>
          <w:tcPr/>
          <w:p>
            <w:pPr>
              <w:pStyle w:val="Compact"/>
            </w:pPr>
            <w:r>
              <w:t xml:space="preserve">October 2015 (original approval 1979)</w:t>
            </w:r>
          </w:p>
        </w:tc>
      </w:tr>
      <w:tr>
        <w:tc>
          <w:tcPr/>
          <w:p>
            <w:pPr>
              <w:pStyle w:val="Compact"/>
            </w:pPr>
            <w:r>
              <w:rPr>
                <w:b/>
                <w:bCs/>
              </w:rPr>
              <w:t xml:space="preserve">Relevance:</w:t>
            </w:r>
          </w:p>
        </w:tc>
        <w:tc>
          <w:tcPr/>
          <w:p>
            <w:pPr>
              <w:pStyle w:val="Compact"/>
            </w:pPr>
            <w:r>
              <w:t xml:space="preserve">Establishes baseline PK: "Plasma levels of the parent drug reach maximum within the first hour." Half-life 4.2 hours. At least 90% absorbed.</w:t>
            </w:r>
          </w:p>
        </w:tc>
      </w:tr>
    </w:tbl>
    <w:bookmarkEnd w:id="28"/>
    <w:bookmarkEnd w:id="29"/>
    <w:bookmarkEnd w:id="30"/>
    <w:bookmarkStart w:id="33" w:name="viii.-claim-construction"/>
    <w:p>
      <w:pPr>
        <w:pStyle w:val="Heading2"/>
      </w:pPr>
      <w:r>
        <w:t xml:space="preserve">VIII. Claim Construction</w:t>
      </w:r>
    </w:p>
    <w:p>
      <w:pPr>
        <w:pStyle w:val="FirstParagraph"/>
      </w:pPr>
      <w:r>
        <w:t xml:space="preserve">For purposes of this proceeding, Petitioner proposes that the claims be given their plain and ordinary meaning consistent with the specification.</w:t>
      </w:r>
    </w:p>
    <w:bookmarkStart w:id="31" w:name="X9c259ca53ebbcc233bcf12544255fd529edb64f"/>
    <w:p>
      <w:pPr>
        <w:pStyle w:val="Heading3"/>
      </w:pPr>
      <w:r>
        <w:t xml:space="preserve">A. "Modified release pharmaceutical formulation"</w:t>
      </w:r>
    </w:p>
    <w:p>
      <w:pPr>
        <w:pStyle w:val="FirstParagraph"/>
      </w:pPr>
      <w:r>
        <w:t xml:space="preserve">The specification does not provide a limiting definition. Under the broadest reasonable interpretation, this term encompasses any oral formulation that modifies the release of minoxidil compared to a simple immediate-release tablet, including but not limited to extended-release, sustained-release, controlled-release, or delayed-release formulations.</w:t>
      </w:r>
    </w:p>
    <w:p>
      <w:pPr>
        <w:pStyle w:val="BodyText"/>
      </w:pPr>
      <w:r>
        <w:rPr>
          <w:b/>
          <w:bCs/>
        </w:rPr>
        <w:t xml:space="preserve">Critically, the claimed PK parameters (Cmax 0.25-20 ng/mL, Tmax 30-360 minutes) are achieved by standard immediate-release minoxidil tablets,</w:t>
      </w:r>
      <w:r>
        <w:t xml:space="preserve"> </w:t>
      </w:r>
      <w:r>
        <w:t xml:space="preserve">as demonstrated by Fleishaker 1989 and the Loniten FDA label.</w:t>
      </w:r>
    </w:p>
    <w:bookmarkEnd w:id="31"/>
    <w:bookmarkStart w:id="32" w:name="b.-release-modifier"/>
    <w:p>
      <w:pPr>
        <w:pStyle w:val="Heading3"/>
      </w:pPr>
      <w:r>
        <w:t xml:space="preserve">B. "Release modifier"</w:t>
      </w:r>
    </w:p>
    <w:p>
      <w:pPr>
        <w:pStyle w:val="FirstParagraph"/>
      </w:pPr>
      <w:r>
        <w:t xml:space="preserve">The specification describes HPMC K4M and K200M as release modifiers in the examples. However, the claims do not limit the release modifier to any specific excipient. Under the broadest reasonable interpretation, any excipient that modifies drug release qualifies.</w:t>
      </w:r>
    </w:p>
    <w:bookmarkEnd w:id="32"/>
    <w:bookmarkEnd w:id="33"/>
    <w:bookmarkStart w:id="43" w:name="Xa66b452d4b9bef95388977d7f10217d49275fea"/>
    <w:p>
      <w:pPr>
        <w:pStyle w:val="Heading2"/>
      </w:pPr>
      <w:r>
        <w:t xml:space="preserve">IX. The Challenged Claims Are Unpatentable</w:t>
      </w:r>
    </w:p>
    <w:bookmarkStart w:id="36" w:name="X5fc62f3e6e16860af1f85cfa73abdc61841b4cd"/>
    <w:p>
      <w:pPr>
        <w:pStyle w:val="Heading3"/>
      </w:pPr>
      <w:r>
        <w:t xml:space="preserve">Ground 1: Claims 1, 2, 14, 18, and 24 Are Anticipated Under § 102</w:t>
      </w:r>
    </w:p>
    <w:p>
      <w:pPr>
        <w:pStyle w:val="FirstParagraph"/>
      </w:pPr>
      <w:r>
        <w:t xml:space="preserve">Claims 1, 2, 14, 18, and 24 are anticipated by the combination of Fleishaker 1989 and the established use of oral minoxidil for hair loss as documented in Sinclair 2018.</w:t>
      </w:r>
    </w:p>
    <w:bookmarkStart w:id="34" w:name="claim-1-element-by-element-analysis"/>
    <w:p>
      <w:pPr>
        <w:pStyle w:val="Heading4"/>
      </w:pPr>
      <w:r>
        <w:t xml:space="preserve">Claim 1 Element-by-Element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Claim 1 Element</w:t>
            </w:r>
          </w:p>
        </w:tc>
        <w:tc>
          <w:tcPr/>
          <w:p>
            <w:pPr>
              <w:pStyle w:val="Compact"/>
            </w:pPr>
            <w:r>
              <w:t xml:space="preserve">Prior Art Disclosure</w:t>
            </w:r>
          </w:p>
        </w:tc>
      </w:tr>
      <w:tr>
        <w:tc>
          <w:tcPr/>
          <w:p>
            <w:pPr>
              <w:pStyle w:val="Compact"/>
            </w:pPr>
            <w:r>
              <w:t xml:space="preserve">"A method of treating hair loss"</w:t>
            </w:r>
          </w:p>
        </w:tc>
        <w:tc>
          <w:tcPr/>
          <w:p>
            <w:pPr>
              <w:pStyle w:val="Compact"/>
            </w:pPr>
            <w:r>
              <w:rPr>
                <w:b/>
                <w:bCs/>
              </w:rPr>
              <w:t xml:space="preserve">Sinclair 2018:</w:t>
            </w:r>
            <w:r>
              <w:t xml:space="preserve"> </w:t>
            </w:r>
            <w:r>
              <w:t xml:space="preserve">"pilot study investigating combination therapy with low-dose oral minoxidil... for pattern hair loss" in 100 patients. Hair loss severity reduced by 1.3 points at 12 months.</w:t>
            </w:r>
            <w:r>
              <w:t xml:space="preserve"> </w:t>
            </w:r>
            <w:r>
              <w:t xml:space="preserve">DISCLOSED</w:t>
            </w:r>
          </w:p>
        </w:tc>
      </w:tr>
      <w:tr>
        <w:tc>
          <w:tcPr/>
          <w:p>
            <w:pPr>
              <w:pStyle w:val="Compact"/>
            </w:pPr>
            <w:r>
              <w:t xml:space="preserve">"comprising orally administering to a subject in need thereof"</w:t>
            </w:r>
          </w:p>
        </w:tc>
        <w:tc>
          <w:tcPr/>
          <w:p>
            <w:pPr>
              <w:pStyle w:val="Compact"/>
            </w:pPr>
            <w:r>
              <w:rPr>
                <w:b/>
                <w:bCs/>
              </w:rPr>
              <w:t xml:space="preserve">Sinclair 2018:</w:t>
            </w:r>
            <w:r>
              <w:t xml:space="preserve"> </w:t>
            </w:r>
            <w:r>
              <w:t xml:space="preserve">"once-daily" oral administration of minoxidil 0.25 mg tablets.</w:t>
            </w:r>
            <w:r>
              <w:t xml:space="preserve"> </w:t>
            </w:r>
            <w:r>
              <w:t xml:space="preserve">DISCLOSED</w:t>
            </w:r>
          </w:p>
        </w:tc>
      </w:tr>
      <w:tr>
        <w:tc>
          <w:tcPr/>
          <w:p>
            <w:pPr>
              <w:pStyle w:val="Compact"/>
            </w:pPr>
            <w:r>
              <w:t xml:space="preserve">"a modified release pharmaceutical formulation"</w:t>
            </w:r>
          </w:p>
        </w:tc>
        <w:tc>
          <w:tcPr/>
          <w:p>
            <w:pPr>
              <w:pStyle w:val="Compact"/>
            </w:pPr>
            <w:r>
              <w:rPr>
                <w:b/>
                <w:bCs/>
              </w:rPr>
              <w:t xml:space="preserve">Fleishaker 1989 &amp; Loniten Label:</w:t>
            </w:r>
            <w:r>
              <w:t xml:space="preserve"> </w:t>
            </w:r>
            <w:r>
              <w:t xml:space="preserve">Standard oral minoxidil tablets inherently provide modified release compared to IV administration. The claims do not require any specific release modification beyond achieving the stated PK parameters.</w:t>
            </w:r>
            <w:r>
              <w:t xml:space="preserve"> </w:t>
            </w:r>
            <w:r>
              <w:t xml:space="preserve">DISCLOSED</w:t>
            </w:r>
          </w:p>
        </w:tc>
      </w:tr>
      <w:tr>
        <w:tc>
          <w:tcPr/>
          <w:p>
            <w:pPr>
              <w:pStyle w:val="Compact"/>
            </w:pPr>
            <w:r>
              <w:t xml:space="preserve">"comprising from about 3.5 mg to about 20 mg of minoxidil"</w:t>
            </w:r>
          </w:p>
        </w:tc>
        <w:tc>
          <w:tcPr/>
          <w:p>
            <w:pPr>
              <w:pStyle w:val="Compact"/>
            </w:pPr>
            <w:r>
              <w:rPr>
                <w:b/>
                <w:bCs/>
              </w:rPr>
              <w:t xml:space="preserve">Fleishaker 1989:</w:t>
            </w:r>
            <w:r>
              <w:t xml:space="preserve"> </w:t>
            </w:r>
            <w:r>
              <w:t xml:space="preserve">Studied 2.5, 5.0, and 10.0 mg doses. 5.0 mg and 10.0 mg fall within claimed range.</w:t>
            </w:r>
            <w:r>
              <w:t xml:space="preserve"> </w:t>
            </w:r>
            <w:r>
              <w:rPr>
                <w:b/>
                <w:bCs/>
              </w:rPr>
              <w:t xml:space="preserve">Sharma 2020:</w:t>
            </w:r>
            <w:r>
              <w:t xml:space="preserve"> </w:t>
            </w:r>
            <w:r>
              <w:t xml:space="preserve">Documents use of 0.25-5 mg doses.</w:t>
            </w:r>
            <w:r>
              <w:t xml:space="preserve"> </w:t>
            </w:r>
            <w:r>
              <w:t xml:space="preserve">DISCLOSED</w:t>
            </w:r>
          </w:p>
        </w:tc>
      </w:tr>
      <w:tr>
        <w:tc>
          <w:tcPr/>
          <w:p>
            <w:pPr>
              <w:pStyle w:val="Compact"/>
            </w:pPr>
            <w:r>
              <w:t xml:space="preserve">"wherein the modified release pharmaceutical formulation provides a blood level of the minoxidil... of about 1 ng/ml to about 20 ng/ml"</w:t>
            </w:r>
          </w:p>
        </w:tc>
        <w:tc>
          <w:tcPr/>
          <w:p>
            <w:pPr>
              <w:pStyle w:val="Compact"/>
            </w:pPr>
            <w:r>
              <w:rPr>
                <w:b/>
                <w:bCs/>
              </w:rPr>
              <w:t xml:space="preserve">Fleishaker 1989:</w:t>
            </w:r>
            <w:r>
              <w:t xml:space="preserve"> </w:t>
            </w:r>
            <w:r>
              <w:t xml:space="preserve">Cmax of 16.8 ± 7.83 ng/mL at 2.5 mg dose. This falls within 1-20 ng/mL range. Higher doses would provide proportionally higher levels within the therapeutic range.</w:t>
            </w:r>
            <w:r>
              <w:t xml:space="preserve"> </w:t>
            </w:r>
            <w:r>
              <w:t xml:space="preserve">DISCLOSED</w:t>
            </w:r>
          </w:p>
        </w:tc>
      </w:tr>
      <w:tr>
        <w:tc>
          <w:tcPr/>
          <w:p>
            <w:pPr>
              <w:pStyle w:val="Compact"/>
            </w:pPr>
            <w:r>
              <w:t xml:space="preserve">"a Cmax of about 0.25 ng/ml to about 20 ng/ml"</w:t>
            </w:r>
          </w:p>
        </w:tc>
        <w:tc>
          <w:tcPr/>
          <w:p>
            <w:pPr>
              <w:pStyle w:val="Compact"/>
            </w:pPr>
            <w:r>
              <w:rPr>
                <w:b/>
                <w:bCs/>
              </w:rPr>
              <w:t xml:space="preserve">Fleishaker 1989:</w:t>
            </w:r>
            <w:r>
              <w:t xml:space="preserve"> </w:t>
            </w:r>
            <w:r>
              <w:t xml:space="preserve">Cmax = 16.8 ± 7.83 ng/mL at 2.5 mg. This is squarely within the claimed 0.25-20 ng/mL range.</w:t>
            </w:r>
            <w:r>
              <w:t xml:space="preserve"> </w:t>
            </w:r>
            <w:r>
              <w:t xml:space="preserve">DISCLOSED</w:t>
            </w:r>
          </w:p>
        </w:tc>
      </w:tr>
      <w:tr>
        <w:tc>
          <w:tcPr/>
          <w:p>
            <w:pPr>
              <w:pStyle w:val="Compact"/>
            </w:pPr>
            <w:r>
              <w:t xml:space="preserve">"a Tmax of about 30 to about 360 minutes"</w:t>
            </w:r>
          </w:p>
        </w:tc>
        <w:tc>
          <w:tcPr/>
          <w:p>
            <w:pPr>
              <w:pStyle w:val="Compact"/>
            </w:pPr>
            <w:r>
              <w:rPr>
                <w:b/>
                <w:bCs/>
              </w:rPr>
              <w:t xml:space="preserve">Fleishaker 1989:</w:t>
            </w:r>
            <w:r>
              <w:t xml:space="preserve"> </w:t>
            </w:r>
            <w:r>
              <w:t xml:space="preserve">Tmax = 1 hour (60 minutes).</w:t>
            </w:r>
            <w:r>
              <w:t xml:space="preserve"> </w:t>
            </w:r>
            <w:r>
              <w:rPr>
                <w:b/>
                <w:bCs/>
              </w:rPr>
              <w:t xml:space="preserve">Loniten Label:</w:t>
            </w:r>
            <w:r>
              <w:t xml:space="preserve"> </w:t>
            </w:r>
            <w:r>
              <w:t xml:space="preserve">"Plasma levels... reach maximum within the first hour." 60 minutes is within the claimed 30-360 minute range.</w:t>
            </w:r>
            <w:r>
              <w:t xml:space="preserve"> </w:t>
            </w:r>
            <w:r>
              <w:t xml:space="preserve">DISCLOSED</w:t>
            </w:r>
          </w:p>
        </w:tc>
      </w:tr>
    </w:tbl>
    <w:p>
      <w:pPr>
        <w:pStyle w:val="BodyText"/>
      </w:pPr>
      <w:r>
        <w:rPr>
          <w:b/>
          <w:bCs/>
        </w:rPr>
        <w:t xml:space="preserve">CONCLUSION - GROUND 1:</w:t>
      </w:r>
      <w:r>
        <w:t xml:space="preserve"> </w:t>
      </w:r>
      <w:r>
        <w:t xml:space="preserve">Every element of Claim 1 is disclosed in the prior art. Standard immediate-release oral minoxidil, when administered for hair loss as documented in Sinclair 2018 and other pre-priority date publications, inherently achieves the claimed PK parameters as established by Fleishaker 1989. Claim 1 is anticipated.</w:t>
      </w:r>
    </w:p>
    <w:bookmarkEnd w:id="34"/>
    <w:bookmarkStart w:id="35" w:name="claims-2-14-18-and-24"/>
    <w:p>
      <w:pPr>
        <w:pStyle w:val="Heading4"/>
      </w:pPr>
      <w:r>
        <w:t xml:space="preserve">Claims 2, 14, 18, and 24</w:t>
      </w:r>
    </w:p>
    <w:p>
      <w:pPr>
        <w:pStyle w:val="FirstParagraph"/>
      </w:pPr>
      <w:r>
        <w:rPr>
          <w:b/>
          <w:bCs/>
        </w:rPr>
        <w:t xml:space="preserve">Claim 2</w:t>
      </w:r>
      <w:r>
        <w:t xml:space="preserve"> </w:t>
      </w:r>
      <w:r>
        <w:t xml:space="preserve">adds "a release modifier, a filler, a glidant, a lubricant." Standard pharmaceutical tablets inherently contain these excipients. The Loniten tablets contain standard tableting excipients. ANTICIPATED.</w:t>
      </w:r>
    </w:p>
    <w:p>
      <w:pPr>
        <w:pStyle w:val="BodyText"/>
      </w:pPr>
      <w:r>
        <w:rPr>
          <w:b/>
          <w:bCs/>
        </w:rPr>
        <w:t xml:space="preserve">Claim 14</w:t>
      </w:r>
      <w:r>
        <w:t xml:space="preserve"> </w:t>
      </w:r>
      <w:r>
        <w:t xml:space="preserve">specifies "about 4.5 mg" minoxidil. Fleishaker studied 5.0 mg, which is "about 4.5 mg" under standard claim construction (~10% variation). ANTICIPATED.</w:t>
      </w:r>
    </w:p>
    <w:p>
      <w:pPr>
        <w:pStyle w:val="BodyText"/>
      </w:pPr>
      <w:r>
        <w:rPr>
          <w:b/>
          <w:bCs/>
        </w:rPr>
        <w:t xml:space="preserve">Claim 18</w:t>
      </w:r>
      <w:r>
        <w:t xml:space="preserve"> </w:t>
      </w:r>
      <w:r>
        <w:t xml:space="preserve">specifies "about 9 mg" minoxidil. Fleishaker studied 10.0 mg, which is "about 9 mg" under standard claim construction. ANTICIPATED.</w:t>
      </w:r>
    </w:p>
    <w:p>
      <w:pPr>
        <w:pStyle w:val="BodyText"/>
      </w:pPr>
      <w:r>
        <w:rPr>
          <w:b/>
          <w:bCs/>
        </w:rPr>
        <w:t xml:space="preserve">Claim 24</w:t>
      </w:r>
      <w:r>
        <w:t xml:space="preserve"> </w:t>
      </w:r>
      <w:r>
        <w:t xml:space="preserve">claims a daily dose method with the same PK parameters. The prior art discloses daily administration achieving these parameters. ANTICIPATED.</w:t>
      </w:r>
    </w:p>
    <w:p>
      <w:r>
        <w:pict>
          <v:rect style="width:0;height:1.5pt" o:hralign="center" o:hrstd="t" o:hr="t"/>
        </w:pict>
      </w:r>
    </w:p>
    <w:bookmarkEnd w:id="35"/>
    <w:bookmarkEnd w:id="36"/>
    <w:bookmarkStart w:id="41" w:name="Xa037ece5f6f25fb49046006c3a0b26d2b8871e5"/>
    <w:p>
      <w:pPr>
        <w:pStyle w:val="Heading3"/>
      </w:pPr>
      <w:r>
        <w:t xml:space="preserve">Ground 2: Claims 1, 2, 12, 14, 18, and 24 Are Obvious Under § 103</w:t>
      </w:r>
    </w:p>
    <w:p>
      <w:pPr>
        <w:pStyle w:val="FirstParagraph"/>
      </w:pPr>
      <w:r>
        <w:t xml:space="preserve">Even if the claims are not anticipated, they are obvious over the combination of Fleishaker 1989, Randolph 2021, and Jimenez-Cauhe 2020.</w:t>
      </w:r>
    </w:p>
    <w:bookmarkStart w:id="37" w:name="a.-state-of-the-art-before-priority-date"/>
    <w:p>
      <w:pPr>
        <w:pStyle w:val="Heading4"/>
      </w:pPr>
      <w:r>
        <w:t xml:space="preserve">A. State of the Art Before Priority Date</w:t>
      </w:r>
    </w:p>
    <w:p>
      <w:pPr>
        <w:pStyle w:val="FirstParagraph"/>
      </w:pPr>
      <w:r>
        <w:t xml:space="preserve">Before October 25, 2022, the following was well-established:</w:t>
      </w:r>
    </w:p>
    <w:p>
      <w:pPr>
        <w:pStyle w:val="Compact"/>
        <w:numPr>
          <w:ilvl w:val="0"/>
          <w:numId w:val="1002"/>
        </w:numPr>
      </w:pPr>
      <w:r>
        <w:rPr>
          <w:b/>
          <w:bCs/>
        </w:rPr>
        <w:t xml:space="preserve">Oral minoxidil PK was known:</w:t>
      </w:r>
      <w:r>
        <w:t xml:space="preserve"> </w:t>
      </w:r>
      <w:r>
        <w:t xml:space="preserve">Fleishaker 1989 established Cmax ~17 ng/mL and Tmax = 1 hour for standard oral tablets.</w:t>
      </w:r>
    </w:p>
    <w:p>
      <w:pPr>
        <w:pStyle w:val="Compact"/>
        <w:numPr>
          <w:ilvl w:val="0"/>
          <w:numId w:val="1002"/>
        </w:numPr>
      </w:pPr>
      <w:r>
        <w:rPr>
          <w:b/>
          <w:bCs/>
        </w:rPr>
        <w:t xml:space="preserve">Oral minoxidil for hair loss was known:</w:t>
      </w:r>
      <w:r>
        <w:t xml:space="preserve"> </w:t>
      </w:r>
      <w:r>
        <w:t xml:space="preserve">Multiple systematic reviews (Randolph 2021, Jimenez-Cauhe 2020, Sharma 2020) documented efficacy in 61-100% of androgenetic alopecia patients.</w:t>
      </w:r>
    </w:p>
    <w:p>
      <w:pPr>
        <w:pStyle w:val="Compact"/>
        <w:numPr>
          <w:ilvl w:val="0"/>
          <w:numId w:val="1002"/>
        </w:numPr>
      </w:pPr>
      <w:r>
        <w:rPr>
          <w:b/>
          <w:bCs/>
        </w:rPr>
        <w:t xml:space="preserve">Dosing for hair loss was known:</w:t>
      </w:r>
      <w:r>
        <w:t xml:space="preserve"> </w:t>
      </w:r>
      <w:r>
        <w:t xml:space="preserve">Doses of 0.25-5 mg daily were well-documented for hair loss treatment.</w:t>
      </w:r>
    </w:p>
    <w:p>
      <w:pPr>
        <w:pStyle w:val="Compact"/>
        <w:numPr>
          <w:ilvl w:val="0"/>
          <w:numId w:val="1002"/>
        </w:numPr>
      </w:pPr>
      <w:r>
        <w:rPr>
          <w:b/>
          <w:bCs/>
        </w:rPr>
        <w:t xml:space="preserve">The method was in clinical use:</w:t>
      </w:r>
      <w:r>
        <w:t xml:space="preserve"> </w:t>
      </w:r>
      <w:r>
        <w:t xml:space="preserve">Thousands of patients were being treated with off-label oral minoxidil for alopecia.</w:t>
      </w:r>
    </w:p>
    <w:bookmarkEnd w:id="37"/>
    <w:bookmarkStart w:id="38" w:name="b.-motivation-to-combine"/>
    <w:p>
      <w:pPr>
        <w:pStyle w:val="Heading4"/>
      </w:pPr>
      <w:r>
        <w:t xml:space="preserve">B. Motivation to Combine</w:t>
      </w:r>
    </w:p>
    <w:p>
      <w:pPr>
        <w:pStyle w:val="FirstParagraph"/>
      </w:pPr>
      <w:r>
        <w:t xml:space="preserve">A person of ordinary skill in the art (POSITA) would have been motivated to administer oral minoxidil for hair loss because:</w:t>
      </w:r>
    </w:p>
    <w:p>
      <w:pPr>
        <w:pStyle w:val="Compact"/>
        <w:numPr>
          <w:ilvl w:val="0"/>
          <w:numId w:val="1003"/>
        </w:numPr>
      </w:pPr>
      <w:r>
        <w:t xml:space="preserve">Multiple peer-reviewed publications documented efficacy and safety</w:t>
      </w:r>
    </w:p>
    <w:p>
      <w:pPr>
        <w:pStyle w:val="Compact"/>
        <w:numPr>
          <w:ilvl w:val="0"/>
          <w:numId w:val="1003"/>
        </w:numPr>
      </w:pPr>
      <w:r>
        <w:t xml:space="preserve">Oral administration offered advantages over topical (better compliance, no scalp irritation)</w:t>
      </w:r>
    </w:p>
    <w:p>
      <w:pPr>
        <w:pStyle w:val="Compact"/>
        <w:numPr>
          <w:ilvl w:val="0"/>
          <w:numId w:val="1003"/>
        </w:numPr>
      </w:pPr>
      <w:r>
        <w:t xml:space="preserve">The PK profile of oral minoxidil was well-characterized</w:t>
      </w:r>
    </w:p>
    <w:p>
      <w:pPr>
        <w:pStyle w:val="Compact"/>
        <w:numPr>
          <w:ilvl w:val="0"/>
          <w:numId w:val="1003"/>
        </w:numPr>
      </w:pPr>
      <w:r>
        <w:t xml:space="preserve">Dermatologists were already prescribing it off-label</w:t>
      </w:r>
    </w:p>
    <w:bookmarkEnd w:id="38"/>
    <w:bookmarkStart w:id="39" w:name="c.-reasonable-expectation-of-success"/>
    <w:p>
      <w:pPr>
        <w:pStyle w:val="Heading4"/>
      </w:pPr>
      <w:r>
        <w:t xml:space="preserve">C. Reasonable Expectation of Success</w:t>
      </w:r>
    </w:p>
    <w:p>
      <w:pPr>
        <w:pStyle w:val="FirstParagraph"/>
      </w:pPr>
      <w:r>
        <w:t xml:space="preserve">A POSITA would have had a reasonable expectation of success because:</w:t>
      </w:r>
    </w:p>
    <w:p>
      <w:pPr>
        <w:pStyle w:val="Compact"/>
        <w:numPr>
          <w:ilvl w:val="0"/>
          <w:numId w:val="1004"/>
        </w:numPr>
      </w:pPr>
      <w:r>
        <w:t xml:space="preserve">Clinical studies showed 61-100% response rates in androgenetic alopecia</w:t>
      </w:r>
    </w:p>
    <w:p>
      <w:pPr>
        <w:pStyle w:val="Compact"/>
        <w:numPr>
          <w:ilvl w:val="0"/>
          <w:numId w:val="1004"/>
        </w:numPr>
      </w:pPr>
      <w:r>
        <w:t xml:space="preserve">The mechanism of action (vasodilation, potassium channel opening) was understood</w:t>
      </w:r>
    </w:p>
    <w:p>
      <w:pPr>
        <w:pStyle w:val="Compact"/>
        <w:numPr>
          <w:ilvl w:val="0"/>
          <w:numId w:val="1004"/>
        </w:numPr>
      </w:pPr>
      <w:r>
        <w:t xml:space="preserve">The safety profile at low doses was well-documented</w:t>
      </w:r>
    </w:p>
    <w:bookmarkEnd w:id="39"/>
    <w:bookmarkStart w:id="40" w:name="X0013a37562eb2cd9911f3a8b8f0211d8863f7ac"/>
    <w:p>
      <w:pPr>
        <w:pStyle w:val="Heading4"/>
      </w:pPr>
      <w:r>
        <w:t xml:space="preserve">D. Claim 12 - Release Modifier at 50-80% w/w</w:t>
      </w:r>
    </w:p>
    <w:p>
      <w:pPr>
        <w:pStyle w:val="FirstParagraph"/>
      </w:pPr>
      <w:r>
        <w:t xml:space="preserve">Claim 12 requires the release modifier at 50-80% w/w. This is a routine formulation optimization that would have been obvious to a pharmaceutical scientist. The selection of release modifier percentage involves only routine experimentation to achieve a desired release profile.</w:t>
      </w:r>
      <w:r>
        <w:t xml:space="preserve"> </w:t>
      </w:r>
      <w:r>
        <w:rPr>
          <w:i/>
          <w:iCs/>
        </w:rPr>
        <w:t xml:space="preserve">See In re Aller</w:t>
      </w:r>
      <w:r>
        <w:t xml:space="preserve">, 220 F.2d 454, 456 (CCPA 1955) (optimization of result-effective variables is obvious).</w:t>
      </w:r>
    </w:p>
    <w:p>
      <w:pPr>
        <w:pStyle w:val="BodyText"/>
      </w:pPr>
      <w:r>
        <w:rPr>
          <w:b/>
          <w:bCs/>
        </w:rPr>
        <w:t xml:space="preserve">CONCLUSION - GROUND 2:</w:t>
      </w:r>
      <w:r>
        <w:t xml:space="preserve"> </w:t>
      </w:r>
      <w:r>
        <w:t xml:space="preserve">The combination of known oral minoxidil PK (Fleishaker), documented use for hair loss (Randolph, Jimenez-Cauhe, Sharma), and routine formulation optimization renders all challenged claims obvious.</w:t>
      </w:r>
    </w:p>
    <w:p>
      <w:r>
        <w:pict>
          <v:rect style="width:0;height:1.5pt" o:hralign="center" o:hrstd="t" o:hr="t"/>
        </w:pict>
      </w:r>
    </w:p>
    <w:bookmarkEnd w:id="40"/>
    <w:bookmarkEnd w:id="41"/>
    <w:bookmarkStart w:id="42" w:name="Xb036ed596c950649424afd4a77a162b1115816c"/>
    <w:p>
      <w:pPr>
        <w:pStyle w:val="Heading3"/>
      </w:pPr>
      <w:r>
        <w:t xml:space="preserve">Ground 3: Claims Anticipated by Loniten Label and Sharma 2020</w:t>
      </w:r>
    </w:p>
    <w:p>
      <w:pPr>
        <w:pStyle w:val="FirstParagraph"/>
      </w:pPr>
      <w:r>
        <w:t xml:space="preserve">The FDA-approved Loniten label (2015) in combination with Sharma 2020's systematic review anticipates the challenged claims by disclosing:</w:t>
      </w:r>
    </w:p>
    <w:p>
      <w:pPr>
        <w:pStyle w:val="Compact"/>
        <w:numPr>
          <w:ilvl w:val="0"/>
          <w:numId w:val="1005"/>
        </w:numPr>
      </w:pPr>
      <w:r>
        <w:t xml:space="preserve">Oral minoxidil tablets achieving Tmax within 1 hour (60 minutes)</w:t>
      </w:r>
    </w:p>
    <w:p>
      <w:pPr>
        <w:pStyle w:val="Compact"/>
        <w:numPr>
          <w:ilvl w:val="0"/>
          <w:numId w:val="1005"/>
        </w:numPr>
      </w:pPr>
      <w:r>
        <w:t xml:space="preserve">Use for treating hair loss in thousands of patients</w:t>
      </w:r>
    </w:p>
    <w:p>
      <w:pPr>
        <w:pStyle w:val="Compact"/>
        <w:numPr>
          <w:ilvl w:val="0"/>
          <w:numId w:val="1005"/>
        </w:numPr>
      </w:pPr>
      <w:r>
        <w:t xml:space="preserve">Doses achieving blood levels within the claimed ranges</w:t>
      </w:r>
    </w:p>
    <w:bookmarkEnd w:id="42"/>
    <w:bookmarkEnd w:id="43"/>
    <w:bookmarkStart w:id="44" w:name="X9a6b6e26219a09d8efb9b21c4e34ab83667043f"/>
    <w:p>
      <w:pPr>
        <w:pStyle w:val="Heading2"/>
      </w:pPr>
      <w:r>
        <w:t xml:space="preserve">X. Secondary Considerations Do Not Overcome Prima Facie Obviousness</w:t>
      </w:r>
    </w:p>
    <w:p>
      <w:pPr>
        <w:pStyle w:val="FirstParagraph"/>
      </w:pPr>
      <w:r>
        <w:t xml:space="preserve">Patent Owner may argue secondary considerations of non-obviousness. However:</w:t>
      </w:r>
    </w:p>
    <w:p>
      <w:pPr>
        <w:pStyle w:val="Compact"/>
        <w:numPr>
          <w:ilvl w:val="0"/>
          <w:numId w:val="1006"/>
        </w:numPr>
      </w:pPr>
      <w:r>
        <w:rPr>
          <w:b/>
          <w:bCs/>
        </w:rPr>
        <w:t xml:space="preserve">No long-felt need:</w:t>
      </w:r>
      <w:r>
        <w:t xml:space="preserve"> </w:t>
      </w:r>
      <w:r>
        <w:t xml:space="preserve">Oral minoxidil for hair loss was already in widespread clinical use before the priority date.</w:t>
      </w:r>
    </w:p>
    <w:p>
      <w:pPr>
        <w:pStyle w:val="Compact"/>
        <w:numPr>
          <w:ilvl w:val="0"/>
          <w:numId w:val="1006"/>
        </w:numPr>
      </w:pPr>
      <w:r>
        <w:rPr>
          <w:b/>
          <w:bCs/>
        </w:rPr>
        <w:t xml:space="preserve">No failure of others:</w:t>
      </w:r>
      <w:r>
        <w:t xml:space="preserve"> </w:t>
      </w:r>
      <w:r>
        <w:t xml:space="preserve">Others had successfully used oral minoxidil for hair loss, as documented in the prior art.</w:t>
      </w:r>
    </w:p>
    <w:p>
      <w:pPr>
        <w:pStyle w:val="Compact"/>
        <w:numPr>
          <w:ilvl w:val="0"/>
          <w:numId w:val="1006"/>
        </w:numPr>
      </w:pPr>
      <w:r>
        <w:rPr>
          <w:b/>
          <w:bCs/>
        </w:rPr>
        <w:t xml:space="preserve">No unexpected results:</w:t>
      </w:r>
      <w:r>
        <w:t xml:space="preserve"> </w:t>
      </w:r>
      <w:r>
        <w:t xml:space="preserve">The claimed PK parameters are the inherent, expected parameters of oral minoxidil administration.</w:t>
      </w:r>
    </w:p>
    <w:p>
      <w:pPr>
        <w:pStyle w:val="Compact"/>
        <w:numPr>
          <w:ilvl w:val="0"/>
          <w:numId w:val="1006"/>
        </w:numPr>
      </w:pPr>
      <w:r>
        <w:rPr>
          <w:b/>
          <w:bCs/>
        </w:rPr>
        <w:t xml:space="preserve">No commercial success attributable to claimed invention:</w:t>
      </w:r>
      <w:r>
        <w:t xml:space="preserve"> </w:t>
      </w:r>
      <w:r>
        <w:t xml:space="preserve">Any commercial success is due to minoxidil's known efficacy, not the claimed PK parameters.</w:t>
      </w:r>
    </w:p>
    <w:bookmarkEnd w:id="44"/>
    <w:bookmarkStart w:id="45" w:name="xi.-conclusion"/>
    <w:p>
      <w:pPr>
        <w:pStyle w:val="Heading2"/>
      </w:pPr>
      <w:r>
        <w:t xml:space="preserve">XI. Conclusion</w:t>
      </w:r>
    </w:p>
    <w:p>
      <w:pPr>
        <w:pStyle w:val="FirstParagraph"/>
      </w:pPr>
      <w:r>
        <w:t xml:space="preserve">For the reasons set forth above, Petitioner has demonstrated a reasonable likelihood of prevailing on at least one of the challenged claims. The prior art clearly establishes that:</w:t>
      </w:r>
    </w:p>
    <w:p>
      <w:pPr>
        <w:pStyle w:val="Compact"/>
        <w:numPr>
          <w:ilvl w:val="0"/>
          <w:numId w:val="1007"/>
        </w:numPr>
      </w:pPr>
      <w:r>
        <w:t xml:space="preserve">Oral minoxidil achieves the claimed PK parameters (Cmax 0.25-20 ng/mL, Tmax 30-360 minutes)</w:t>
      </w:r>
    </w:p>
    <w:p>
      <w:pPr>
        <w:pStyle w:val="Compact"/>
        <w:numPr>
          <w:ilvl w:val="0"/>
          <w:numId w:val="1007"/>
        </w:numPr>
      </w:pPr>
      <w:r>
        <w:t xml:space="preserve">Oral minoxidil was used for treating hair loss before the priority date</w:t>
      </w:r>
    </w:p>
    <w:p>
      <w:pPr>
        <w:pStyle w:val="Compact"/>
        <w:numPr>
          <w:ilvl w:val="0"/>
          <w:numId w:val="1007"/>
        </w:numPr>
      </w:pPr>
      <w:r>
        <w:t xml:space="preserve">The claimed method is nothing more than the known use of a known drug at known doses achieving known PK parameters</w:t>
      </w:r>
    </w:p>
    <w:p>
      <w:pPr>
        <w:pStyle w:val="FirstParagraph"/>
      </w:pPr>
      <w:r>
        <w:t xml:space="preserve">Petitioner respectfully requests institution of inter partes review of claims 1, 2, 12, 14, 18, and 24 of the '688 patent.</w:t>
      </w:r>
    </w:p>
    <w:p>
      <w:r>
        <w:pict>
          <v:rect style="width:0;height:1.5pt" o:hralign="center" o:hrstd="t" o:hr="t"/>
        </w:pict>
      </w:r>
    </w:p>
    <w:bookmarkEnd w:id="45"/>
    <w:bookmarkStart w:id="46" w:name="xii.-list-of-exhibits"/>
    <w:p>
      <w:pPr>
        <w:pStyle w:val="Heading2"/>
      </w:pPr>
      <w:r>
        <w:t xml:space="preserve">XII. List of Exhibits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Exhibit No.</w:t>
            </w:r>
          </w:p>
        </w:tc>
        <w:tc>
          <w:tcPr/>
          <w:p>
            <w:pPr>
              <w:pStyle w:val="Compact"/>
            </w:pPr>
            <w:r>
              <w:t xml:space="preserve">Description</w:t>
            </w:r>
          </w:p>
        </w:tc>
      </w:tr>
      <w:tr>
        <w:tc>
          <w:tcPr/>
          <w:p>
            <w:pPr>
              <w:pStyle w:val="Compact"/>
            </w:pPr>
            <w:r>
              <w:t xml:space="preserve">1001</w:t>
            </w:r>
          </w:p>
        </w:tc>
        <w:tc>
          <w:tcPr/>
          <w:p>
            <w:pPr>
              <w:pStyle w:val="Compact"/>
            </w:pPr>
            <w:r>
              <w:t xml:space="preserve">Fleishaker et al., "The pharmacokinetics of 2.5- to 10-mg oral doses of minoxidil in healthy volunteers," J Clin Pharmacol. 1989; PMID: 2715373</w:t>
            </w:r>
          </w:p>
        </w:tc>
      </w:tr>
      <w:tr>
        <w:tc>
          <w:tcPr/>
          <w:p>
            <w:pPr>
              <w:pStyle w:val="Compact"/>
            </w:pPr>
            <w:r>
              <w:t xml:space="preserve">1002</w:t>
            </w:r>
          </w:p>
        </w:tc>
        <w:tc>
          <w:tcPr/>
          <w:p>
            <w:pPr>
              <w:pStyle w:val="Compact"/>
            </w:pPr>
            <w:r>
              <w:t xml:space="preserve">Sinclair RD, "Female pattern hair loss: a pilot study investigating combination therapy with low-dose oral minoxidil and spironolactone," Int J Dermatol. 2018; PMID: 29231239</w:t>
            </w:r>
          </w:p>
        </w:tc>
      </w:tr>
      <w:tr>
        <w:tc>
          <w:tcPr/>
          <w:p>
            <w:pPr>
              <w:pStyle w:val="Compact"/>
            </w:pPr>
            <w:r>
              <w:t xml:space="preserve">1003</w:t>
            </w:r>
          </w:p>
        </w:tc>
        <w:tc>
          <w:tcPr/>
          <w:p>
            <w:pPr>
              <w:pStyle w:val="Compact"/>
            </w:pPr>
            <w:r>
              <w:t xml:space="preserve">Randolph &amp; Tosti, "Oral minoxidil treatment for hair loss: A review of efficacy and safety," J Am Acad Dermatol. 2021; PMID: 32622136</w:t>
            </w:r>
          </w:p>
        </w:tc>
      </w:tr>
      <w:tr>
        <w:tc>
          <w:tcPr/>
          <w:p>
            <w:pPr>
              <w:pStyle w:val="Compact"/>
            </w:pPr>
            <w:r>
              <w:t xml:space="preserve">1004</w:t>
            </w:r>
          </w:p>
        </w:tc>
        <w:tc>
          <w:tcPr/>
          <w:p>
            <w:pPr>
              <w:pStyle w:val="Compact"/>
            </w:pPr>
            <w:r>
              <w:t xml:space="preserve">Jimenez-Cauhe et al., "Safety of low-dose oral minoxidil treatment for hair loss. A systematic review," Dermatol Ther. 2020; PMID: 32757405</w:t>
            </w:r>
          </w:p>
        </w:tc>
      </w:tr>
      <w:tr>
        <w:tc>
          <w:tcPr/>
          <w:p>
            <w:pPr>
              <w:pStyle w:val="Compact"/>
            </w:pPr>
            <w:r>
              <w:t xml:space="preserve">1005</w:t>
            </w:r>
          </w:p>
        </w:tc>
        <w:tc>
          <w:tcPr/>
          <w:p>
            <w:pPr>
              <w:pStyle w:val="Compact"/>
            </w:pPr>
            <w:r>
              <w:t xml:space="preserve">Sharma et al., "Low-dose oral minoxidil as treatment for non-scarring alopecia: a systematic review," Int J Dermatol. 2020; PMID: 32516434</w:t>
            </w:r>
          </w:p>
        </w:tc>
      </w:tr>
      <w:tr>
        <w:tc>
          <w:tcPr/>
          <w:p>
            <w:pPr>
              <w:pStyle w:val="Compact"/>
            </w:pPr>
            <w:r>
              <w:t xml:space="preserve">1006</w:t>
            </w:r>
          </w:p>
        </w:tc>
        <w:tc>
          <w:tcPr/>
          <w:p>
            <w:pPr>
              <w:pStyle w:val="Compact"/>
            </w:pPr>
            <w:r>
              <w:t xml:space="preserve">Loniten® (minoxidil tablets, USP) FDA Prescribing Information, October 2015</w:t>
            </w:r>
          </w:p>
        </w:tc>
      </w:tr>
      <w:tr>
        <w:tc>
          <w:tcPr/>
          <w:p>
            <w:pPr>
              <w:pStyle w:val="Compact"/>
            </w:pPr>
            <w:r>
              <w:t xml:space="preserve">1007</w:t>
            </w:r>
          </w:p>
        </w:tc>
        <w:tc>
          <w:tcPr/>
          <w:p>
            <w:pPr>
              <w:pStyle w:val="Compact"/>
            </w:pPr>
            <w:r>
              <w:t xml:space="preserve">U.S. Patent No. 12,268,688 B2</w:t>
            </w:r>
          </w:p>
        </w:tc>
      </w:tr>
      <w:tr>
        <w:tc>
          <w:tcPr/>
          <w:p>
            <w:pPr>
              <w:pStyle w:val="Compact"/>
            </w:pPr>
            <w:r>
              <w:t xml:space="preserve">1008</w:t>
            </w:r>
          </w:p>
        </w:tc>
        <w:tc>
          <w:tcPr/>
          <w:p>
            <w:pPr>
              <w:pStyle w:val="Compact"/>
            </w:pPr>
            <w:r>
              <w:t xml:space="preserve">File History of U.S. Patent No. 12,268,688 B2 [To be obtained]</w:t>
            </w:r>
          </w:p>
        </w:tc>
      </w:tr>
      <w:tr>
        <w:tc>
          <w:tcPr/>
          <w:p>
            <w:pPr>
              <w:pStyle w:val="Compact"/>
            </w:pPr>
            <w:r>
              <w:t xml:space="preserve">1009</w:t>
            </w:r>
          </w:p>
        </w:tc>
        <w:tc>
          <w:tcPr/>
          <w:p>
            <w:pPr>
              <w:pStyle w:val="Compact"/>
            </w:pPr>
            <w:r>
              <w:t xml:space="preserve">Declaration of [Expert Witness - Pharmaceutical Sciences] [To be prepared]</w:t>
            </w:r>
          </w:p>
        </w:tc>
      </w:tr>
      <w:tr>
        <w:tc>
          <w:tcPr/>
          <w:p>
            <w:pPr>
              <w:pStyle w:val="Compact"/>
            </w:pPr>
            <w:r>
              <w:t xml:space="preserve">1010</w:t>
            </w:r>
          </w:p>
        </w:tc>
        <w:tc>
          <w:tcPr/>
          <w:p>
            <w:pPr>
              <w:pStyle w:val="Compact"/>
            </w:pPr>
            <w:r>
              <w:t xml:space="preserve">Declaration of [Expert Witness - Dermatology/Hair Loss Treatment] [To be prepared]</w:t>
            </w:r>
          </w:p>
        </w:tc>
      </w:tr>
    </w:tbl>
    <w:p>
      <w:r>
        <w:pict>
          <v:rect style="width:0;height:1.5pt" o:hralign="center" o:hrstd="t" o:hr="t"/>
        </w:pict>
      </w:r>
    </w:p>
    <w:p>
      <w:pPr>
        <w:pStyle w:val="FirstParagraph"/>
      </w:pPr>
      <w:r>
        <w:t xml:space="preserve">Respectfully submitted,</w:t>
      </w:r>
    </w:p>
    <w:p>
      <w:pPr>
        <w:pStyle w:val="BodyText"/>
      </w:pPr>
      <w:r>
        <w:br/>
      </w:r>
      <w:r>
        <w:br/>
      </w:r>
    </w:p>
    <w:p>
      <w:pPr>
        <w:pStyle w:val="BodyText"/>
      </w:pPr>
      <w:r>
        <w:t xml:space="preserve">_________________________________</w:t>
      </w:r>
    </w:p>
    <w:p>
      <w:pPr>
        <w:pStyle w:val="BodyText"/>
      </w:pPr>
      <w:r>
        <w:t xml:space="preserve">[Attorney Name]</w:t>
      </w:r>
    </w:p>
    <w:p>
      <w:pPr>
        <w:pStyle w:val="BodyText"/>
      </w:pPr>
      <w:r>
        <w:t xml:space="preserve">[Registration No.]</w:t>
      </w:r>
    </w:p>
    <w:p>
      <w:pPr>
        <w:pStyle w:val="BodyText"/>
      </w:pPr>
      <w:r>
        <w:t xml:space="preserve">Counsel for Petitioner</w:t>
      </w:r>
    </w:p>
    <w:p>
      <w:pPr>
        <w:pStyle w:val="BodyText"/>
      </w:pPr>
      <w:r>
        <w:t xml:space="preserve">Date: _______________</w:t>
      </w:r>
    </w:p>
    <w:p>
      <w:r>
        <w:pict>
          <v:rect style="width:0;height:1.5pt" o:hralign="center" o:hrstd="t" o:hr="t"/>
        </w:pict>
      </w:r>
    </w:p>
    <w:bookmarkEnd w:id="46"/>
    <w:bookmarkStart w:id="47" w:name="appendix-a-claim-chart-summary"/>
    <w:p>
      <w:pPr>
        <w:pStyle w:val="Heading2"/>
      </w:pPr>
      <w:r>
        <w:t xml:space="preserve">Appendix A: Claim Chart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w:t>
            </w:r>
          </w:p>
        </w:tc>
        <w:tc>
          <w:tcPr/>
          <w:p>
            <w:pPr>
              <w:pStyle w:val="Compact"/>
            </w:pPr>
            <w:r>
              <w:t xml:space="preserve">Key Limitation</w:t>
            </w:r>
          </w:p>
        </w:tc>
        <w:tc>
          <w:tcPr/>
          <w:p>
            <w:pPr>
              <w:pStyle w:val="Compact"/>
            </w:pPr>
            <w:r>
              <w:t xml:space="preserve">Prior Art Reference</w:t>
            </w:r>
          </w:p>
        </w:tc>
        <w:tc>
          <w:tcPr/>
          <w:p>
            <w:pPr>
              <w:pStyle w:val="Compact"/>
            </w:pPr>
            <w:r>
              <w:t xml:space="preserve">Finding</w:t>
            </w:r>
          </w:p>
        </w:tc>
      </w:tr>
      <w:tr>
        <w:tc>
          <w:tcPr/>
          <w:p>
            <w:pPr>
              <w:pStyle w:val="Compact"/>
            </w:pPr>
            <w:r>
              <w:t xml:space="preserve">1</w:t>
            </w:r>
          </w:p>
        </w:tc>
        <w:tc>
          <w:tcPr/>
          <w:p>
            <w:pPr>
              <w:pStyle w:val="Compact"/>
            </w:pPr>
            <w:r>
              <w:t xml:space="preserve">Cmax 0.25-20 ng/mL</w:t>
            </w:r>
          </w:p>
        </w:tc>
        <w:tc>
          <w:tcPr/>
          <w:p>
            <w:pPr>
              <w:pStyle w:val="Compact"/>
            </w:pPr>
            <w:r>
              <w:t xml:space="preserve">Fleishaker 1989: Cmax = 16.8 ng/mL at 2.5mg</w:t>
            </w:r>
          </w:p>
        </w:tc>
        <w:tc>
          <w:tcPr/>
          <w:p>
            <w:pPr>
              <w:pStyle w:val="Compact"/>
            </w:pPr>
            <w:r>
              <w:t xml:space="preserve">ANTICIPATED</w:t>
            </w:r>
          </w:p>
        </w:tc>
      </w:tr>
      <w:tr>
        <w:tc>
          <w:tcPr/>
          <w:p>
            <w:pPr>
              <w:pStyle w:val="Compact"/>
            </w:pPr>
            <w:r>
              <w:t xml:space="preserve">1</w:t>
            </w:r>
          </w:p>
        </w:tc>
        <w:tc>
          <w:tcPr/>
          <w:p>
            <w:pPr>
              <w:pStyle w:val="Compact"/>
            </w:pPr>
            <w:r>
              <w:t xml:space="preserve">Tmax 30-360 min</w:t>
            </w:r>
          </w:p>
        </w:tc>
        <w:tc>
          <w:tcPr/>
          <w:p>
            <w:pPr>
              <w:pStyle w:val="Compact"/>
            </w:pPr>
            <w:r>
              <w:t xml:space="preserve">Fleishaker 1989: Tmax = 60 min (1 hour)</w:t>
            </w:r>
          </w:p>
        </w:tc>
        <w:tc>
          <w:tcPr/>
          <w:p>
            <w:pPr>
              <w:pStyle w:val="Compact"/>
            </w:pPr>
            <w:r>
              <w:t xml:space="preserve">ANTICIPATED</w:t>
            </w:r>
          </w:p>
        </w:tc>
      </w:tr>
      <w:tr>
        <w:tc>
          <w:tcPr/>
          <w:p>
            <w:pPr>
              <w:pStyle w:val="Compact"/>
            </w:pPr>
            <w:r>
              <w:t xml:space="preserve">1</w:t>
            </w:r>
          </w:p>
        </w:tc>
        <w:tc>
          <w:tcPr/>
          <w:p>
            <w:pPr>
              <w:pStyle w:val="Compact"/>
            </w:pPr>
            <w:r>
              <w:t xml:space="preserve">Hair loss treatment</w:t>
            </w:r>
          </w:p>
        </w:tc>
        <w:tc>
          <w:tcPr/>
          <w:p>
            <w:pPr>
              <w:pStyle w:val="Compact"/>
            </w:pPr>
            <w:r>
              <w:t xml:space="preserve">Sinclair 2018, Randolph 2021, Jimenez-Cauhe 2020</w:t>
            </w:r>
          </w:p>
        </w:tc>
        <w:tc>
          <w:tcPr/>
          <w:p>
            <w:pPr>
              <w:pStyle w:val="Compact"/>
            </w:pPr>
            <w:r>
              <w:t xml:space="preserve">ANTICIPATED</w:t>
            </w:r>
          </w:p>
        </w:tc>
      </w:tr>
      <w:tr>
        <w:tc>
          <w:tcPr/>
          <w:p>
            <w:pPr>
              <w:pStyle w:val="Compact"/>
            </w:pPr>
            <w:r>
              <w:t xml:space="preserve">1</w:t>
            </w:r>
          </w:p>
        </w:tc>
        <w:tc>
          <w:tcPr/>
          <w:p>
            <w:pPr>
              <w:pStyle w:val="Compact"/>
            </w:pPr>
            <w:r>
              <w:t xml:space="preserve">3.5-20 mg minoxidil</w:t>
            </w:r>
          </w:p>
        </w:tc>
        <w:tc>
          <w:tcPr/>
          <w:p>
            <w:pPr>
              <w:pStyle w:val="Compact"/>
            </w:pPr>
            <w:r>
              <w:t xml:space="preserve">Fleishaker 1989: 5mg, 10mg doses studied</w:t>
            </w:r>
          </w:p>
        </w:tc>
        <w:tc>
          <w:tcPr/>
          <w:p>
            <w:pPr>
              <w:pStyle w:val="Compact"/>
            </w:pPr>
            <w:r>
              <w:t xml:space="preserve">ANTICIPATED</w:t>
            </w:r>
          </w:p>
        </w:tc>
      </w:tr>
      <w:tr>
        <w:tc>
          <w:tcPr/>
          <w:p>
            <w:pPr>
              <w:pStyle w:val="Compact"/>
            </w:pPr>
            <w:r>
              <w:t xml:space="preserve">2</w:t>
            </w:r>
          </w:p>
        </w:tc>
        <w:tc>
          <w:tcPr/>
          <w:p>
            <w:pPr>
              <w:pStyle w:val="Compact"/>
            </w:pPr>
            <w:r>
              <w:t xml:space="preserve">Release modifier, filler, etc.</w:t>
            </w:r>
          </w:p>
        </w:tc>
        <w:tc>
          <w:tcPr/>
          <w:p>
            <w:pPr>
              <w:pStyle w:val="Compact"/>
            </w:pPr>
            <w:r>
              <w:t xml:space="preserve">Standard tablet excipients (inherent)</w:t>
            </w:r>
          </w:p>
        </w:tc>
        <w:tc>
          <w:tcPr/>
          <w:p>
            <w:pPr>
              <w:pStyle w:val="Compact"/>
            </w:pPr>
            <w:r>
              <w:t xml:space="preserve">ANTICIPATED</w:t>
            </w:r>
          </w:p>
        </w:tc>
      </w:tr>
      <w:tr>
        <w:tc>
          <w:tcPr/>
          <w:p>
            <w:pPr>
              <w:pStyle w:val="Compact"/>
            </w:pPr>
            <w:r>
              <w:t xml:space="preserve">12</w:t>
            </w:r>
          </w:p>
        </w:tc>
        <w:tc>
          <w:tcPr/>
          <w:p>
            <w:pPr>
              <w:pStyle w:val="Compact"/>
            </w:pPr>
            <w:r>
              <w:t xml:space="preserve">Release modifier 50-80% w/w</w:t>
            </w:r>
          </w:p>
        </w:tc>
        <w:tc>
          <w:tcPr/>
          <w:p>
            <w:pPr>
              <w:pStyle w:val="Compact"/>
            </w:pPr>
            <w:r>
              <w:t xml:space="preserve">Routine optimization</w:t>
            </w:r>
          </w:p>
        </w:tc>
        <w:tc>
          <w:tcPr/>
          <w:p>
            <w:pPr>
              <w:pStyle w:val="Compact"/>
            </w:pPr>
            <w:r>
              <w:t xml:space="preserve">OBVIOUS</w:t>
            </w:r>
          </w:p>
        </w:tc>
      </w:tr>
      <w:tr>
        <w:tc>
          <w:tcPr/>
          <w:p>
            <w:pPr>
              <w:pStyle w:val="Compact"/>
            </w:pPr>
            <w:r>
              <w:t xml:space="preserve">14</w:t>
            </w:r>
          </w:p>
        </w:tc>
        <w:tc>
          <w:tcPr/>
          <w:p>
            <w:pPr>
              <w:pStyle w:val="Compact"/>
            </w:pPr>
            <w:r>
              <w:t xml:space="preserve">About 4.5 mg</w:t>
            </w:r>
          </w:p>
        </w:tc>
        <w:tc>
          <w:tcPr/>
          <w:p>
            <w:pPr>
              <w:pStyle w:val="Compact"/>
            </w:pPr>
            <w:r>
              <w:t xml:space="preserve">Fleishaker 1989: 5mg ≈ "about 4.5mg"</w:t>
            </w:r>
          </w:p>
        </w:tc>
        <w:tc>
          <w:tcPr/>
          <w:p>
            <w:pPr>
              <w:pStyle w:val="Compact"/>
            </w:pPr>
            <w:r>
              <w:t xml:space="preserve">ANTICIPATED</w:t>
            </w:r>
          </w:p>
        </w:tc>
      </w:tr>
      <w:tr>
        <w:tc>
          <w:tcPr/>
          <w:p>
            <w:pPr>
              <w:pStyle w:val="Compact"/>
            </w:pPr>
            <w:r>
              <w:t xml:space="preserve">18</w:t>
            </w:r>
          </w:p>
        </w:tc>
        <w:tc>
          <w:tcPr/>
          <w:p>
            <w:pPr>
              <w:pStyle w:val="Compact"/>
            </w:pPr>
            <w:r>
              <w:t xml:space="preserve">About 9 mg</w:t>
            </w:r>
          </w:p>
        </w:tc>
        <w:tc>
          <w:tcPr/>
          <w:p>
            <w:pPr>
              <w:pStyle w:val="Compact"/>
            </w:pPr>
            <w:r>
              <w:t xml:space="preserve">Fleishaker 1989: 10mg ≈ "about 9mg"</w:t>
            </w:r>
          </w:p>
        </w:tc>
        <w:tc>
          <w:tcPr/>
          <w:p>
            <w:pPr>
              <w:pStyle w:val="Compact"/>
            </w:pPr>
            <w:r>
              <w:t xml:space="preserve">ANTICIPATED</w:t>
            </w:r>
          </w:p>
        </w:tc>
      </w:tr>
      <w:tr>
        <w:tc>
          <w:tcPr/>
          <w:p>
            <w:pPr>
              <w:pStyle w:val="Compact"/>
            </w:pPr>
            <w:r>
              <w:t xml:space="preserve">24</w:t>
            </w:r>
          </w:p>
        </w:tc>
        <w:tc>
          <w:tcPr/>
          <w:p>
            <w:pPr>
              <w:pStyle w:val="Compact"/>
            </w:pPr>
            <w:r>
              <w:t xml:space="preserve">Daily dose method</w:t>
            </w:r>
          </w:p>
        </w:tc>
        <w:tc>
          <w:tcPr/>
          <w:p>
            <w:pPr>
              <w:pStyle w:val="Compact"/>
            </w:pPr>
            <w:r>
              <w:t xml:space="preserve">All references teach daily dosing</w:t>
            </w:r>
          </w:p>
        </w:tc>
        <w:tc>
          <w:tcPr/>
          <w:p>
            <w:pPr>
              <w:pStyle w:val="Compact"/>
            </w:pPr>
            <w:r>
              <w:t xml:space="preserve">ANTICIPATED</w:t>
            </w:r>
          </w:p>
        </w:tc>
      </w:tr>
    </w:tbl>
    <w:p>
      <w:r>
        <w:pict>
          <v:rect style="width:0;height:1.5pt" o:hralign="center" o:hrstd="t" o:hr="t"/>
        </w:pict>
      </w:r>
    </w:p>
    <w:p>
      <w:pPr>
        <w:pStyle w:val="FirstParagraph"/>
      </w:pPr>
      <w:r>
        <w:rPr>
          <w:b/>
          <w:bCs/>
        </w:rPr>
        <w:t xml:space="preserve">NEXT STEPS:</w:t>
      </w:r>
      <w:r>
        <w:br/>
      </w:r>
      <w:r>
        <w:t xml:space="preserve">1. Engage registered patent attorney for review and finalization</w:t>
      </w:r>
      <w:r>
        <w:br/>
      </w:r>
      <w:r>
        <w:t xml:space="preserve">2. Obtain full-text copies of all prior art references</w:t>
      </w:r>
      <w:r>
        <w:br/>
      </w:r>
      <w:r>
        <w:t xml:space="preserve">3. Prepare expert declarations</w:t>
      </w:r>
      <w:r>
        <w:br/>
      </w:r>
      <w:r>
        <w:t xml:space="preserve">4. Obtain prosecution file history</w:t>
      </w:r>
      <w:r>
        <w:br/>
      </w:r>
      <w:r>
        <w:t xml:space="preserve">5. Finalize claim charts with expert input</w:t>
      </w:r>
      <w:r>
        <w:br/>
      </w:r>
      <w:r>
        <w:t xml:space="preserve">6. File via PTAB E2E system with required fees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 Petition Draft - US Patent 12,268,688 B2</dc:title>
  <dc:creator/>
  <dc:language>en</dc:language>
  <cp:keywords/>
  <dcterms:created xsi:type="dcterms:W3CDTF">2026-02-05T05:20:01Z</dcterms:created>
  <dcterms:modified xsi:type="dcterms:W3CDTF">2026-02-05T05:20:01Z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