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Veradermics Counterarguments Analysis</w:t>
      </w:r>
    </w:p>
    <w:bookmarkStart w:id="44" w:name="veradermics-counterarguments-analysis"/>
    <w:p>
      <w:pPr>
        <w:pStyle w:val="Heading1"/>
      </w:pPr>
      <w:r>
        <w:t xml:space="preserve">Veradermics Counterarguments Analysis</w:t>
      </w:r>
    </w:p>
    <w:bookmarkStart w:id="9" w:name="know-your-opposition"/>
    <w:p>
      <w:pPr>
        <w:pStyle w:val="Heading2"/>
      </w:pPr>
      <w:r>
        <w:t xml:space="preserve">Know Your Opposition</w:t>
      </w:r>
    </w:p>
    <w:p>
      <w:pPr>
        <w:pStyle w:val="FirstParagraph"/>
      </w:pPr>
      <w:r>
        <w:rPr>
          <w:b/>
          <w:bCs/>
        </w:rPr>
        <w:t xml:space="preserve">Date:</w:t>
      </w:r>
      <w:r>
        <w:t xml:space="preserve"> </w:t>
      </w:r>
      <w:r>
        <w:t xml:space="preserve">February 5, 2026</w:t>
      </w:r>
    </w:p>
    <w:p>
      <w:pPr>
        <w:pStyle w:val="BodyText"/>
      </w:pPr>
      <w:r>
        <w:rPr>
          <w:b/>
          <w:bCs/>
        </w:rPr>
        <w:t xml:space="preserve">Purpose:</w:t>
      </w:r>
      <w:r>
        <w:t xml:space="preserve"> </w:t>
      </w:r>
      <w:r>
        <w:t xml:space="preserve">Anticipate Veradermics' likely arguments against our IPR petition and lipid matrix formulation approach</w:t>
      </w:r>
    </w:p>
    <w:p>
      <w:pPr>
        <w:pStyle w:val="BodyText"/>
      </w:pPr>
      <w:r>
        <w:rPr>
          <w:b/>
          <w:bCs/>
        </w:rPr>
        <w:t xml:space="preserve">Strategic Principle:</w:t>
      </w:r>
      <w:r>
        <w:t xml:space="preserve"> </w:t>
      </w:r>
      <w:r>
        <w:t xml:space="preserve">Understanding the opposing arguments allows us to prepare stronger rebuttals and identify weaknesses in our position that need reinforcement.</w:t>
      </w:r>
    </w:p>
    <w:p>
      <w:r>
        <w:pict>
          <v:rect style="width:0;height:1.5pt" o:hralign="center" o:hrstd="t" o:hr="t"/>
        </w:pict>
      </w:r>
    </w:p>
    <w:bookmarkEnd w:id="9"/>
    <w:bookmarkStart w:id="24" w:name="X4940d696c9d84addf0cb16b0920d76154c775a5"/>
    <w:p>
      <w:pPr>
        <w:pStyle w:val="Heading2"/>
      </w:pPr>
      <w:r>
        <w:t xml:space="preserve">Part 1: Counterarguments to Our IPR Petition</w:t>
      </w:r>
    </w:p>
    <w:bookmarkStart w:id="14" w:name="against-anticipation-102-arguments"/>
    <w:p>
      <w:pPr>
        <w:pStyle w:val="Heading3"/>
      </w:pPr>
      <w:r>
        <w:t xml:space="preserve">1.1 Against Anticipation (§102) Arguments</w:t>
      </w:r>
    </w:p>
    <w:bookmarkStart w:id="10" w:name="X1ffeab473bc9c30f52dd47e714df67af41094f6"/>
    <w:p>
      <w:pPr>
        <w:pStyle w:val="Heading4"/>
      </w:pPr>
      <w:r>
        <w:t xml:space="preserve">STRONG</w:t>
      </w:r>
      <w:r>
        <w:t xml:space="preserve"> </w:t>
      </w:r>
      <w:r>
        <w:t xml:space="preserve">Counterargument: "Modified Release" Has a Specific Meaning</w:t>
      </w:r>
    </w:p>
    <w:p>
      <w:pPr>
        <w:pStyle w:val="FirstParagraph"/>
      </w:pPr>
      <w:r>
        <w:rPr>
          <w:b/>
          <w:bCs/>
        </w:rPr>
        <w:t xml:space="preserve">Veradermics will argue:</w:t>
      </w:r>
    </w:p>
    <w:p>
      <w:pPr>
        <w:pStyle w:val="Compact"/>
        <w:numPr>
          <w:ilvl w:val="0"/>
          <w:numId w:val="1001"/>
        </w:numPr>
      </w:pPr>
      <w:r>
        <w:t xml:space="preserve">"Modified release" is a term of art defined by FDA and USP</w:t>
      </w:r>
    </w:p>
    <w:p>
      <w:pPr>
        <w:pStyle w:val="Compact"/>
        <w:numPr>
          <w:ilvl w:val="0"/>
          <w:numId w:val="1001"/>
        </w:numPr>
      </w:pPr>
      <w:r>
        <w:t xml:space="preserve">FDA defines modified release as "dosage forms whose drug-release characteristics of time course and/or location are chosen to accomplish therapeutic or convenience objectives not offered by conventional dosage forms"</w:t>
      </w:r>
    </w:p>
    <w:p>
      <w:pPr>
        <w:pStyle w:val="Compact"/>
        <w:numPr>
          <w:ilvl w:val="0"/>
          <w:numId w:val="1001"/>
        </w:numPr>
      </w:pPr>
      <w:r>
        <w:t xml:space="preserve">IR tablets are, by definition, NOT modified release formulations</w:t>
      </w:r>
    </w:p>
    <w:p>
      <w:pPr>
        <w:pStyle w:val="Compact"/>
        <w:numPr>
          <w:ilvl w:val="0"/>
          <w:numId w:val="1001"/>
        </w:numPr>
      </w:pPr>
      <w:r>
        <w:t xml:space="preserve">The prior art IR minoxidil use therefore cannot anticipate claims requiring "modified release"</w:t>
      </w:r>
    </w:p>
    <w:bookmarkEnd w:id="10"/>
    <w:bookmarkStart w:id="11" w:name="our-rebuttal"/>
    <w:p>
      <w:pPr>
        <w:pStyle w:val="Heading4"/>
      </w:pPr>
      <w:r>
        <w:t xml:space="preserve">Our Rebuttal:</w:t>
      </w:r>
    </w:p>
    <w:p>
      <w:pPr>
        <w:pStyle w:val="Compact"/>
        <w:numPr>
          <w:ilvl w:val="0"/>
          <w:numId w:val="1002"/>
        </w:numPr>
      </w:pPr>
      <w:r>
        <w:t xml:space="preserve">The claims define the invention by PK parameters, not by formulation type - if they wanted to exclude IR, the claims should have specified ER/SR/CR</w:t>
      </w:r>
    </w:p>
    <w:p>
      <w:pPr>
        <w:pStyle w:val="Compact"/>
        <w:numPr>
          <w:ilvl w:val="0"/>
          <w:numId w:val="1002"/>
        </w:numPr>
      </w:pPr>
      <w:r>
        <w:t xml:space="preserve">The specification does not provide a limiting definition of "modified release"</w:t>
      </w:r>
    </w:p>
    <w:p>
      <w:pPr>
        <w:pStyle w:val="Compact"/>
        <w:numPr>
          <w:ilvl w:val="0"/>
          <w:numId w:val="1002"/>
        </w:numPr>
      </w:pPr>
      <w:r>
        <w:t xml:space="preserve">Even accepting this construction, the claims become obvious (Ground 2) rather than anticipated</w:t>
      </w:r>
    </w:p>
    <w:p>
      <w:pPr>
        <w:pStyle w:val="Compact"/>
        <w:numPr>
          <w:ilvl w:val="0"/>
          <w:numId w:val="1002"/>
        </w:numPr>
      </w:pPr>
      <w:r>
        <w:t xml:space="preserve">Any oral formulation "modifies" release compared to IV administration - the term is ambiguous</w:t>
      </w:r>
    </w:p>
    <w:p>
      <w:pPr>
        <w:pStyle w:val="FirstParagraph"/>
      </w:pPr>
      <w:r>
        <w:rPr>
          <w:b/>
          <w:bCs/>
        </w:rPr>
        <w:t xml:space="preserve">Risk Assessment:</w:t>
      </w:r>
      <w:r>
        <w:t xml:space="preserve"> </w:t>
      </w:r>
      <w:r>
        <w:t xml:space="preserve">This is their strongest argument against anticipation. We should lead with obviousness as the primary ground.</w:t>
      </w:r>
    </w:p>
    <w:bookmarkEnd w:id="11"/>
    <w:bookmarkStart w:id="12" w:name="X1db6853274992dfbcf6f06ea5c0c830694da0ac"/>
    <w:p>
      <w:pPr>
        <w:pStyle w:val="Heading4"/>
      </w:pPr>
      <w:r>
        <w:t xml:space="preserve">MEDIUM</w:t>
      </w:r>
      <w:r>
        <w:t xml:space="preserve"> </w:t>
      </w:r>
      <w:r>
        <w:t xml:space="preserve">Counterargument: IR Tmax is at the Edge of Claimed Range</w:t>
      </w:r>
    </w:p>
    <w:p>
      <w:pPr>
        <w:pStyle w:val="FirstParagraph"/>
      </w:pPr>
      <w:r>
        <w:rPr>
          <w:b/>
          <w:bCs/>
        </w:rPr>
        <w:t xml:space="preserve">Veradermics will argue:</w:t>
      </w:r>
    </w:p>
    <w:p>
      <w:pPr>
        <w:pStyle w:val="Compact"/>
        <w:numPr>
          <w:ilvl w:val="0"/>
          <w:numId w:val="1003"/>
        </w:numPr>
      </w:pPr>
      <w:r>
        <w:t xml:space="preserve">IR minoxidil Tmax of 30-60 minutes is at the very bottom of the claimed 30-360 minute range</w:t>
      </w:r>
    </w:p>
    <w:p>
      <w:pPr>
        <w:pStyle w:val="Compact"/>
        <w:numPr>
          <w:ilvl w:val="0"/>
          <w:numId w:val="1003"/>
        </w:numPr>
      </w:pPr>
      <w:r>
        <w:t xml:space="preserve">The claimed range was intended to capture extended-release profiles, not IR</w:t>
      </w:r>
    </w:p>
    <w:p>
      <w:pPr>
        <w:pStyle w:val="Compact"/>
        <w:numPr>
          <w:ilvl w:val="0"/>
          <w:numId w:val="1003"/>
        </w:numPr>
      </w:pPr>
      <w:r>
        <w:t xml:space="preserve">The overall PK curve shape is dramatically different - IR has a sharp spike, ER has a flat curve</w:t>
      </w:r>
    </w:p>
    <w:bookmarkEnd w:id="12"/>
    <w:bookmarkStart w:id="13" w:name="our-rebuttal-1"/>
    <w:p>
      <w:pPr>
        <w:pStyle w:val="Heading4"/>
      </w:pPr>
      <w:r>
        <w:t xml:space="preserve">Our Rebuttal:</w:t>
      </w:r>
    </w:p>
    <w:p>
      <w:pPr>
        <w:pStyle w:val="Compact"/>
        <w:numPr>
          <w:ilvl w:val="0"/>
          <w:numId w:val="1004"/>
        </w:numPr>
      </w:pPr>
      <w:r>
        <w:t xml:space="preserve">30-60 minutes is squarely WITHIN 30-360 minutes - there's no "edge" in claim construction</w:t>
      </w:r>
    </w:p>
    <w:p>
      <w:pPr>
        <w:pStyle w:val="Compact"/>
        <w:numPr>
          <w:ilvl w:val="0"/>
          <w:numId w:val="1004"/>
        </w:numPr>
      </w:pPr>
      <w:r>
        <w:t xml:space="preserve">The claims don't specify curve shape, duration above threshold, or any other parameter besides Cmax and Tmax</w:t>
      </w:r>
    </w:p>
    <w:p>
      <w:pPr>
        <w:pStyle w:val="Compact"/>
        <w:numPr>
          <w:ilvl w:val="0"/>
          <w:numId w:val="1004"/>
        </w:numPr>
      </w:pPr>
      <w:r>
        <w:t xml:space="preserve">If they wanted to exclude IR profiles, they should have claimed narrower Tmax ranges (e.g., 120-360 min)</w:t>
      </w:r>
    </w:p>
    <w:p>
      <w:pPr>
        <w:pStyle w:val="Compact"/>
        <w:numPr>
          <w:ilvl w:val="0"/>
          <w:numId w:val="1004"/>
        </w:numPr>
      </w:pPr>
      <w:r>
        <w:t xml:space="preserve">Patentees are bound by their claim language, not their intentions</w:t>
      </w:r>
    </w:p>
    <w:bookmarkEnd w:id="13"/>
    <w:p>
      <w:r>
        <w:pict>
          <v:rect style="width:0;height:1.5pt" o:hralign="center" o:hrstd="t" o:hr="t"/>
        </w:pict>
      </w:r>
    </w:p>
    <w:bookmarkEnd w:id="14"/>
    <w:bookmarkStart w:id="23" w:name="against-obviousness-103-arguments"/>
    <w:p>
      <w:pPr>
        <w:pStyle w:val="Heading3"/>
      </w:pPr>
      <w:r>
        <w:t xml:space="preserve">1.2 Against Obviousness (§103) Arguments</w:t>
      </w:r>
    </w:p>
    <w:bookmarkStart w:id="15" w:name="X17269a35b8c553cd8d349ed0fe1d03e6c5ebb38"/>
    <w:p>
      <w:pPr>
        <w:pStyle w:val="Heading4"/>
      </w:pPr>
      <w:r>
        <w:t xml:space="preserve">MEDIUM</w:t>
      </w:r>
      <w:r>
        <w:t xml:space="preserve"> </w:t>
      </w:r>
      <w:r>
        <w:t xml:space="preserve">Counterargument: No Motivation to Develop Oral Minoxidil for Hair Loss</w:t>
      </w:r>
    </w:p>
    <w:p>
      <w:pPr>
        <w:pStyle w:val="FirstParagraph"/>
      </w:pPr>
      <w:r>
        <w:rPr>
          <w:b/>
          <w:bCs/>
        </w:rPr>
        <w:t xml:space="preserve">Veradermics will argue:</w:t>
      </w:r>
    </w:p>
    <w:p>
      <w:pPr>
        <w:pStyle w:val="Compact"/>
        <w:numPr>
          <w:ilvl w:val="0"/>
          <w:numId w:val="1005"/>
        </w:numPr>
      </w:pPr>
      <w:r>
        <w:t xml:space="preserve">Topical minoxidil (Rogaine) was the established standard of care for hair loss</w:t>
      </w:r>
    </w:p>
    <w:p>
      <w:pPr>
        <w:pStyle w:val="Compact"/>
        <w:numPr>
          <w:ilvl w:val="0"/>
          <w:numId w:val="1005"/>
        </w:numPr>
      </w:pPr>
      <w:r>
        <w:t xml:space="preserve">The pharmaceutical industry was focused on improving topical formulations, not developing oral products</w:t>
      </w:r>
    </w:p>
    <w:p>
      <w:pPr>
        <w:pStyle w:val="Compact"/>
        <w:numPr>
          <w:ilvl w:val="0"/>
          <w:numId w:val="1005"/>
        </w:numPr>
      </w:pPr>
      <w:r>
        <w:t xml:space="preserve">Safety concerns with oral minoxidil (CV effects) would have discouraged development</w:t>
      </w:r>
    </w:p>
    <w:p>
      <w:pPr>
        <w:pStyle w:val="Compact"/>
        <w:numPr>
          <w:ilvl w:val="0"/>
          <w:numId w:val="1005"/>
        </w:numPr>
      </w:pPr>
      <w:r>
        <w:t xml:space="preserve">Off-label use by a few dermatologists doesn't establish industry-wide motivation</w:t>
      </w:r>
    </w:p>
    <w:bookmarkEnd w:id="15"/>
    <w:bookmarkStart w:id="16" w:name="our-rebuttal-2"/>
    <w:p>
      <w:pPr>
        <w:pStyle w:val="Heading4"/>
      </w:pPr>
      <w:r>
        <w:t xml:space="preserve">Our Rebuttal:</w:t>
      </w:r>
    </w:p>
    <w:p>
      <w:pPr>
        <w:pStyle w:val="Compact"/>
        <w:numPr>
          <w:ilvl w:val="0"/>
          <w:numId w:val="1006"/>
        </w:numPr>
      </w:pPr>
      <w:r>
        <w:t xml:space="preserve">The prior art PROVES motivation existed - thousands of patients were being treated off-label</w:t>
      </w:r>
    </w:p>
    <w:p>
      <w:pPr>
        <w:pStyle w:val="Compact"/>
        <w:numPr>
          <w:ilvl w:val="0"/>
          <w:numId w:val="1006"/>
        </w:numPr>
      </w:pPr>
      <w:r>
        <w:t xml:space="preserve">Sinclair 2018, Randolph 2021 (634 patients), Sharma 2020 (19,218 patients) document widespread use</w:t>
      </w:r>
    </w:p>
    <w:p>
      <w:pPr>
        <w:pStyle w:val="Compact"/>
        <w:numPr>
          <w:ilvl w:val="0"/>
          <w:numId w:val="1006"/>
        </w:numPr>
      </w:pPr>
      <w:r>
        <w:t xml:space="preserve">Dermatologists specifically chose oral over topical for patients who failed topical therapy</w:t>
      </w:r>
    </w:p>
    <w:p>
      <w:pPr>
        <w:pStyle w:val="Compact"/>
        <w:numPr>
          <w:ilvl w:val="0"/>
          <w:numId w:val="1006"/>
        </w:numPr>
      </w:pPr>
      <w:r>
        <w:t xml:space="preserve">The existence of published systematic reviews demonstrates significant interest in the field</w:t>
      </w:r>
    </w:p>
    <w:p>
      <w:pPr>
        <w:pStyle w:val="Compact"/>
        <w:numPr>
          <w:ilvl w:val="0"/>
          <w:numId w:val="1006"/>
        </w:numPr>
      </w:pPr>
      <w:r>
        <w:t xml:space="preserve">Low-dose safety was established by the same prior art</w:t>
      </w:r>
    </w:p>
    <w:bookmarkEnd w:id="16"/>
    <w:bookmarkStart w:id="17" w:name="Xaaf3b13d20272e311b73d5315a10768a1759626"/>
    <w:p>
      <w:pPr>
        <w:pStyle w:val="Heading4"/>
      </w:pPr>
      <w:r>
        <w:t xml:space="preserve">WEAK</w:t>
      </w:r>
      <w:r>
        <w:t xml:space="preserve"> </w:t>
      </w:r>
      <w:r>
        <w:t xml:space="preserve">Counterargument: Teaching Away from Oral Minoxidil</w:t>
      </w:r>
    </w:p>
    <w:p>
      <w:pPr>
        <w:pStyle w:val="FirstParagraph"/>
      </w:pPr>
      <w:r>
        <w:rPr>
          <w:b/>
          <w:bCs/>
        </w:rPr>
        <w:t xml:space="preserve">Veradermics will argue:</w:t>
      </w:r>
    </w:p>
    <w:p>
      <w:pPr>
        <w:pStyle w:val="Compact"/>
        <w:numPr>
          <w:ilvl w:val="0"/>
          <w:numId w:val="1007"/>
        </w:numPr>
      </w:pPr>
      <w:r>
        <w:t xml:space="preserve">The Loniten label contains warnings about cardiovascular effects</w:t>
      </w:r>
    </w:p>
    <w:p>
      <w:pPr>
        <w:pStyle w:val="Compact"/>
        <w:numPr>
          <w:ilvl w:val="0"/>
          <w:numId w:val="1007"/>
        </w:numPr>
      </w:pPr>
      <w:r>
        <w:t xml:space="preserve">Medical literature discussed risks of oral minoxidil</w:t>
      </w:r>
    </w:p>
    <w:p>
      <w:pPr>
        <w:pStyle w:val="Compact"/>
        <w:numPr>
          <w:ilvl w:val="0"/>
          <w:numId w:val="1007"/>
        </w:numPr>
      </w:pPr>
      <w:r>
        <w:t xml:space="preserve">This would have taught away from developing oral formulations for cosmetic use</w:t>
      </w:r>
    </w:p>
    <w:bookmarkEnd w:id="17"/>
    <w:bookmarkStart w:id="18" w:name="our-rebuttal-3"/>
    <w:p>
      <w:pPr>
        <w:pStyle w:val="Heading4"/>
      </w:pPr>
      <w:r>
        <w:t xml:space="preserve">Our Rebuttal:</w:t>
      </w:r>
    </w:p>
    <w:p>
      <w:pPr>
        <w:pStyle w:val="Compact"/>
        <w:numPr>
          <w:ilvl w:val="0"/>
          <w:numId w:val="1008"/>
        </w:numPr>
      </w:pPr>
      <w:r>
        <w:t xml:space="preserve">Teaching away requires the prior art to "criticize, discredit, or otherwise discourage" the claimed approach</w:t>
      </w:r>
    </w:p>
    <w:p>
      <w:pPr>
        <w:pStyle w:val="Compact"/>
        <w:numPr>
          <w:ilvl w:val="0"/>
          <w:numId w:val="1008"/>
        </w:numPr>
      </w:pPr>
      <w:r>
        <w:t xml:space="preserve">The prior art does the OPPOSITE - it documents successful, safe use at low doses</w:t>
      </w:r>
    </w:p>
    <w:p>
      <w:pPr>
        <w:pStyle w:val="Compact"/>
        <w:numPr>
          <w:ilvl w:val="0"/>
          <w:numId w:val="1008"/>
        </w:numPr>
      </w:pPr>
      <w:r>
        <w:t xml:space="preserve">Warnings about high-dose use for hypertension don't teach away from low-dose use for hair loss</w:t>
      </w:r>
    </w:p>
    <w:p>
      <w:pPr>
        <w:pStyle w:val="Compact"/>
        <w:numPr>
          <w:ilvl w:val="0"/>
          <w:numId w:val="1008"/>
        </w:numPr>
      </w:pPr>
      <w:r>
        <w:t xml:space="preserve">The fact that doctors WERE prescribing it off-label proves the field wasn't taught away</w:t>
      </w:r>
    </w:p>
    <w:bookmarkEnd w:id="18"/>
    <w:bookmarkStart w:id="19" w:name="X5e8ac89ac1a3db670387b1aba6d693b4e231f63"/>
    <w:p>
      <w:pPr>
        <w:pStyle w:val="Heading4"/>
      </w:pPr>
      <w:r>
        <w:t xml:space="preserve">MEDIUM</w:t>
      </w:r>
      <w:r>
        <w:t xml:space="preserve"> </w:t>
      </w:r>
      <w:r>
        <w:t xml:space="preserve">Counterargument: Unexpected Results</w:t>
      </w:r>
    </w:p>
    <w:p>
      <w:pPr>
        <w:pStyle w:val="FirstParagraph"/>
      </w:pPr>
      <w:r>
        <w:rPr>
          <w:b/>
          <w:bCs/>
        </w:rPr>
        <w:t xml:space="preserve">Veradermics will argue:</w:t>
      </w:r>
    </w:p>
    <w:p>
      <w:pPr>
        <w:pStyle w:val="Compact"/>
        <w:numPr>
          <w:ilvl w:val="0"/>
          <w:numId w:val="1009"/>
        </w:numPr>
      </w:pPr>
      <w:r>
        <w:t xml:space="preserve">The specific PK profile that optimizes hair growth while minimizing CV effects was not predictable</w:t>
      </w:r>
    </w:p>
    <w:p>
      <w:pPr>
        <w:pStyle w:val="Compact"/>
        <w:numPr>
          <w:ilvl w:val="0"/>
          <w:numId w:val="1009"/>
        </w:numPr>
      </w:pPr>
      <w:r>
        <w:t xml:space="preserve">The "therapeutic window" between hair growth threshold (1.62 ng/mL) and cardiac threshold (20 ng/mL) was their discovery</w:t>
      </w:r>
    </w:p>
    <w:p>
      <w:pPr>
        <w:pStyle w:val="Compact"/>
        <w:numPr>
          <w:ilvl w:val="0"/>
          <w:numId w:val="1009"/>
        </w:numPr>
      </w:pPr>
      <w:r>
        <w:t xml:space="preserve">Finding the optimal Cmax of ~7-8 ng/mL required experimentation</w:t>
      </w:r>
    </w:p>
    <w:bookmarkEnd w:id="19"/>
    <w:bookmarkStart w:id="20" w:name="our-rebuttal-4"/>
    <w:p>
      <w:pPr>
        <w:pStyle w:val="Heading4"/>
      </w:pPr>
      <w:r>
        <w:t xml:space="preserve">Our Rebuttal:</w:t>
      </w:r>
    </w:p>
    <w:p>
      <w:pPr>
        <w:pStyle w:val="Compact"/>
        <w:numPr>
          <w:ilvl w:val="0"/>
          <w:numId w:val="1010"/>
        </w:numPr>
      </w:pPr>
      <w:r>
        <w:t xml:space="preserve">The claims don't require Cmax of 7-8 ng/mL - they claim the broad range 0.25-20 ng/mL</w:t>
      </w:r>
    </w:p>
    <w:p>
      <w:pPr>
        <w:pStyle w:val="Compact"/>
        <w:numPr>
          <w:ilvl w:val="0"/>
          <w:numId w:val="1010"/>
        </w:numPr>
      </w:pPr>
      <w:r>
        <w:t xml:space="preserve">ER formulations predictably reduce Cmax - there's nothing unexpected about this</w:t>
      </w:r>
    </w:p>
    <w:p>
      <w:pPr>
        <w:pStyle w:val="Compact"/>
        <w:numPr>
          <w:ilvl w:val="0"/>
          <w:numId w:val="1010"/>
        </w:numPr>
      </w:pPr>
      <w:r>
        <w:t xml:space="preserve">The therapeutic window is just the known range between efficacy and toxicity - not a discovery</w:t>
      </w:r>
    </w:p>
    <w:p>
      <w:pPr>
        <w:pStyle w:val="Compact"/>
        <w:numPr>
          <w:ilvl w:val="0"/>
          <w:numId w:val="1010"/>
        </w:numPr>
      </w:pPr>
      <w:r>
        <w:t xml:space="preserve">Fleishaker 1989 already established that ~17 ng/mL was therapeutic (for hypertension), providing guidance on effective levels</w:t>
      </w:r>
    </w:p>
    <w:p>
      <w:pPr>
        <w:pStyle w:val="Compact"/>
        <w:numPr>
          <w:ilvl w:val="0"/>
          <w:numId w:val="1010"/>
        </w:numPr>
      </w:pPr>
      <w:r>
        <w:t xml:space="preserve">Optimizing formulation to achieve target PK is routine pharmaceutical science, not invention</w:t>
      </w:r>
    </w:p>
    <w:bookmarkEnd w:id="20"/>
    <w:bookmarkStart w:id="21" w:name="Xaf6082266499b292ca949592e190cd243878464"/>
    <w:p>
      <w:pPr>
        <w:pStyle w:val="Heading4"/>
      </w:pPr>
      <w:r>
        <w:t xml:space="preserve">WEAK</w:t>
      </w:r>
      <w:r>
        <w:t xml:space="preserve"> </w:t>
      </w:r>
      <w:r>
        <w:t xml:space="preserve">Counterargument: Secondary Considerations</w:t>
      </w:r>
    </w:p>
    <w:p>
      <w:pPr>
        <w:pStyle w:val="FirstParagraph"/>
      </w:pPr>
      <w:r>
        <w:rPr>
          <w:b/>
          <w:bCs/>
        </w:rPr>
        <w:t xml:space="preserve">Veradermics will argue:</w:t>
      </w:r>
    </w:p>
    <w:p>
      <w:pPr>
        <w:pStyle w:val="Compact"/>
        <w:numPr>
          <w:ilvl w:val="0"/>
          <w:numId w:val="1011"/>
        </w:numPr>
      </w:pPr>
      <w:r>
        <w:t xml:space="preserve">Commercial success of their product (if achieved)</w:t>
      </w:r>
    </w:p>
    <w:p>
      <w:pPr>
        <w:pStyle w:val="Compact"/>
        <w:numPr>
          <w:ilvl w:val="0"/>
          <w:numId w:val="1011"/>
        </w:numPr>
      </w:pPr>
      <w:r>
        <w:t xml:space="preserve">Long-felt but unmet need for effective oral hair loss treatment</w:t>
      </w:r>
    </w:p>
    <w:p>
      <w:pPr>
        <w:pStyle w:val="Compact"/>
        <w:numPr>
          <w:ilvl w:val="0"/>
          <w:numId w:val="1011"/>
        </w:numPr>
      </w:pPr>
      <w:r>
        <w:t xml:space="preserve">Industry skepticism about oral minoxidil safety</w:t>
      </w:r>
    </w:p>
    <w:p>
      <w:pPr>
        <w:pStyle w:val="Compact"/>
        <w:numPr>
          <w:ilvl w:val="0"/>
          <w:numId w:val="1011"/>
        </w:numPr>
      </w:pPr>
      <w:r>
        <w:t xml:space="preserve">Praise from dermatology community</w:t>
      </w:r>
    </w:p>
    <w:bookmarkEnd w:id="21"/>
    <w:bookmarkStart w:id="22" w:name="our-rebuttal-5"/>
    <w:p>
      <w:pPr>
        <w:pStyle w:val="Heading4"/>
      </w:pPr>
      <w:r>
        <w:t xml:space="preserve">Our Rebuttal:</w:t>
      </w:r>
    </w:p>
    <w:p>
      <w:pPr>
        <w:pStyle w:val="Compact"/>
        <w:numPr>
          <w:ilvl w:val="0"/>
          <w:numId w:val="1012"/>
        </w:numPr>
      </w:pPr>
      <w:r>
        <w:t xml:space="preserve">Commercial success stems from FDA approval and marketing, not technical innovation</w:t>
      </w:r>
    </w:p>
    <w:p>
      <w:pPr>
        <w:pStyle w:val="Compact"/>
        <w:numPr>
          <w:ilvl w:val="0"/>
          <w:numId w:val="1012"/>
        </w:numPr>
      </w:pPr>
      <w:r>
        <w:t xml:space="preserve">The "need" was already being met by off-label prescribing - there was no unmet need</w:t>
      </w:r>
    </w:p>
    <w:p>
      <w:pPr>
        <w:pStyle w:val="Compact"/>
        <w:numPr>
          <w:ilvl w:val="0"/>
          <w:numId w:val="1012"/>
        </w:numPr>
      </w:pPr>
      <w:r>
        <w:t xml:space="preserve">No evidence of industry skepticism - multiple published studies show active research</w:t>
      </w:r>
    </w:p>
    <w:p>
      <w:pPr>
        <w:pStyle w:val="Compact"/>
        <w:numPr>
          <w:ilvl w:val="0"/>
          <w:numId w:val="1012"/>
        </w:numPr>
      </w:pPr>
      <w:r>
        <w:t xml:space="preserve">Secondary considerations cannot overcome a strong prima facie case of obviousness</w:t>
      </w:r>
    </w:p>
    <w:bookmarkEnd w:id="22"/>
    <w:p>
      <w:r>
        <w:pict>
          <v:rect style="width:0;height:1.5pt" o:hralign="center" o:hrstd="t" o:hr="t"/>
        </w:pict>
      </w:r>
    </w:p>
    <w:bookmarkEnd w:id="23"/>
    <w:bookmarkEnd w:id="24"/>
    <w:bookmarkStart w:id="35" w:name="X9238a14ec0fedba223218be94276f556f606d84"/>
    <w:p>
      <w:pPr>
        <w:pStyle w:val="Heading2"/>
      </w:pPr>
      <w:r>
        <w:t xml:space="preserve">Part 2: Counterarguments to Our Lipid Matrix Formulation</w:t>
      </w:r>
    </w:p>
    <w:bookmarkStart w:id="29" w:name="patent-infringement-arguments"/>
    <w:p>
      <w:pPr>
        <w:pStyle w:val="Heading3"/>
      </w:pPr>
      <w:r>
        <w:t xml:space="preserve">2.1 Patent Infringement Arguments</w:t>
      </w:r>
    </w:p>
    <w:bookmarkStart w:id="25" w:name="Xe5b6d7d7b70a995d8503d296464219ea43949c6"/>
    <w:p>
      <w:pPr>
        <w:pStyle w:val="Heading4"/>
      </w:pPr>
      <w:r>
        <w:t xml:space="preserve">MEDIUM</w:t>
      </w:r>
      <w:r>
        <w:t xml:space="preserve"> </w:t>
      </w:r>
      <w:r>
        <w:t xml:space="preserve">Counterargument: Lipid Matrix Still Achieves Claimed PK Parameters</w:t>
      </w:r>
    </w:p>
    <w:p>
      <w:pPr>
        <w:pStyle w:val="FirstParagraph"/>
      </w:pPr>
      <w:r>
        <w:rPr>
          <w:b/>
          <w:bCs/>
        </w:rPr>
        <w:t xml:space="preserve">Veradermics will argue:</w:t>
      </w:r>
    </w:p>
    <w:p>
      <w:pPr>
        <w:pStyle w:val="Compact"/>
        <w:numPr>
          <w:ilvl w:val="0"/>
          <w:numId w:val="1013"/>
        </w:numPr>
      </w:pPr>
      <w:r>
        <w:t xml:space="preserve">The claims are written to PK parameters, not formulation type</w:t>
      </w:r>
    </w:p>
    <w:p>
      <w:pPr>
        <w:pStyle w:val="Compact"/>
        <w:numPr>
          <w:ilvl w:val="0"/>
          <w:numId w:val="1013"/>
        </w:numPr>
      </w:pPr>
      <w:r>
        <w:t xml:space="preserve">If our lipid matrix achieves Cmax 0.25-20 ng/mL and Tmax 30-360 minutes, it infringes</w:t>
      </w:r>
    </w:p>
    <w:p>
      <w:pPr>
        <w:pStyle w:val="Compact"/>
        <w:numPr>
          <w:ilvl w:val="0"/>
          <w:numId w:val="1013"/>
        </w:numPr>
      </w:pPr>
      <w:r>
        <w:t xml:space="preserve">The release mechanism (lipid erosion vs. HPMC gel) doesn't matter for claim interpretation</w:t>
      </w:r>
    </w:p>
    <w:p>
      <w:pPr>
        <w:pStyle w:val="Compact"/>
        <w:numPr>
          <w:ilvl w:val="0"/>
          <w:numId w:val="1013"/>
        </w:numPr>
      </w:pPr>
      <w:r>
        <w:t xml:space="preserve">Method claims cover anyone using any formulation to achieve the claimed PK for hair loss</w:t>
      </w:r>
    </w:p>
    <w:bookmarkEnd w:id="25"/>
    <w:bookmarkStart w:id="26" w:name="our-rebuttal-6"/>
    <w:p>
      <w:pPr>
        <w:pStyle w:val="Heading4"/>
      </w:pPr>
      <w:r>
        <w:t xml:space="preserve">Our Rebuttal:</w:t>
      </w:r>
    </w:p>
    <w:p>
      <w:pPr>
        <w:pStyle w:val="Compact"/>
        <w:numPr>
          <w:ilvl w:val="0"/>
          <w:numId w:val="1014"/>
        </w:numPr>
      </w:pPr>
      <w:r>
        <w:t xml:space="preserve">If the claims are broad enough to cover any formulation achieving these PK parameters, they're invalid for covering prior art IR use</w:t>
      </w:r>
    </w:p>
    <w:p>
      <w:pPr>
        <w:pStyle w:val="Compact"/>
        <w:numPr>
          <w:ilvl w:val="0"/>
          <w:numId w:val="1014"/>
        </w:numPr>
      </w:pPr>
      <w:r>
        <w:t xml:space="preserve">They can't have it both ways - either "modified release" limits the claims (and lipids are different), or it doesn't (and IR anticipates)</w:t>
      </w:r>
    </w:p>
    <w:p>
      <w:pPr>
        <w:pStyle w:val="Compact"/>
        <w:numPr>
          <w:ilvl w:val="0"/>
          <w:numId w:val="1014"/>
        </w:numPr>
      </w:pPr>
      <w:r>
        <w:t xml:space="preserve">The specification only describes HPMC as the release modifier - lipids are never mentioned</w:t>
      </w:r>
    </w:p>
    <w:p>
      <w:pPr>
        <w:pStyle w:val="Compact"/>
        <w:numPr>
          <w:ilvl w:val="0"/>
          <w:numId w:val="1014"/>
        </w:numPr>
      </w:pPr>
      <w:r>
        <w:t xml:space="preserve">Under prosecution history estoppel, they may have narrowed claims during prosecution</w:t>
      </w:r>
    </w:p>
    <w:p>
      <w:pPr>
        <w:pStyle w:val="Compact"/>
        <w:numPr>
          <w:ilvl w:val="0"/>
          <w:numId w:val="1014"/>
        </w:numPr>
      </w:pPr>
      <w:r>
        <w:t xml:space="preserve">Our invalidity defense (IPR) provides complete protection regardless</w:t>
      </w:r>
    </w:p>
    <w:bookmarkEnd w:id="26"/>
    <w:bookmarkStart w:id="27" w:name="X525f07ba83ea8842fcc8ba3319ce092d8995189"/>
    <w:p>
      <w:pPr>
        <w:pStyle w:val="Heading4"/>
      </w:pPr>
      <w:r>
        <w:t xml:space="preserve">WEAK</w:t>
      </w:r>
      <w:r>
        <w:t xml:space="preserve"> </w:t>
      </w:r>
      <w:r>
        <w:t xml:space="preserve">Counterargument: Doctrine of Equivalents</w:t>
      </w:r>
    </w:p>
    <w:p>
      <w:pPr>
        <w:pStyle w:val="FirstParagraph"/>
      </w:pPr>
      <w:r>
        <w:rPr>
          <w:b/>
          <w:bCs/>
        </w:rPr>
        <w:t xml:space="preserve">Veradermics will argue:</w:t>
      </w:r>
    </w:p>
    <w:p>
      <w:pPr>
        <w:pStyle w:val="Compact"/>
        <w:numPr>
          <w:ilvl w:val="0"/>
          <w:numId w:val="1015"/>
        </w:numPr>
      </w:pPr>
      <w:r>
        <w:t xml:space="preserve">Even if lipid matrix doesn't literally infringe, it's equivalent to HPMC matrix</w:t>
      </w:r>
    </w:p>
    <w:p>
      <w:pPr>
        <w:pStyle w:val="Compact"/>
        <w:numPr>
          <w:ilvl w:val="0"/>
          <w:numId w:val="1015"/>
        </w:numPr>
      </w:pPr>
      <w:r>
        <w:t xml:space="preserve">Both are "release modifiers" that slow drug release</w:t>
      </w:r>
    </w:p>
    <w:p>
      <w:pPr>
        <w:pStyle w:val="Compact"/>
        <w:numPr>
          <w:ilvl w:val="0"/>
          <w:numId w:val="1015"/>
        </w:numPr>
      </w:pPr>
      <w:r>
        <w:t xml:space="preserve">Function-way-result test: Both function to modify release, in a similar way (matrix erosion), to achieve the same result (extended release PK)</w:t>
      </w:r>
    </w:p>
    <w:bookmarkEnd w:id="27"/>
    <w:bookmarkStart w:id="28" w:name="our-rebuttal-7"/>
    <w:p>
      <w:pPr>
        <w:pStyle w:val="Heading4"/>
      </w:pPr>
      <w:r>
        <w:t xml:space="preserve">Our Rebuttal:</w:t>
      </w:r>
    </w:p>
    <w:p>
      <w:pPr>
        <w:pStyle w:val="Compact"/>
        <w:numPr>
          <w:ilvl w:val="0"/>
          <w:numId w:val="1016"/>
        </w:numPr>
      </w:pPr>
      <w:r>
        <w:t xml:space="preserve">Prosecution history estoppel may bar DOE if they narrowed claims during prosecution</w:t>
      </w:r>
    </w:p>
    <w:p>
      <w:pPr>
        <w:pStyle w:val="Compact"/>
        <w:numPr>
          <w:ilvl w:val="0"/>
          <w:numId w:val="1016"/>
        </w:numPr>
      </w:pPr>
      <w:r>
        <w:t xml:space="preserve">Lipids and HPMC are fundamentally different chemical classes with different mechanisms</w:t>
      </w:r>
    </w:p>
    <w:p>
      <w:pPr>
        <w:pStyle w:val="Compact"/>
        <w:numPr>
          <w:ilvl w:val="0"/>
          <w:numId w:val="1016"/>
        </w:numPr>
      </w:pPr>
      <w:r>
        <w:t xml:space="preserve">HPMC: Hydrophilic gel swelling and diffusion</w:t>
      </w:r>
    </w:p>
    <w:p>
      <w:pPr>
        <w:pStyle w:val="Compact"/>
        <w:numPr>
          <w:ilvl w:val="0"/>
          <w:numId w:val="1016"/>
        </w:numPr>
      </w:pPr>
      <w:r>
        <w:t xml:space="preserve">Lipids: Hydrophobic matrix erosion, completely different water interaction</w:t>
      </w:r>
    </w:p>
    <w:p>
      <w:pPr>
        <w:pStyle w:val="Compact"/>
        <w:numPr>
          <w:ilvl w:val="0"/>
          <w:numId w:val="1016"/>
        </w:numPr>
      </w:pPr>
      <w:r>
        <w:t xml:space="preserve">A POSITA would not consider them interchangeable - different formulation science entirely</w:t>
      </w:r>
    </w:p>
    <w:p>
      <w:pPr>
        <w:pStyle w:val="Compact"/>
        <w:numPr>
          <w:ilvl w:val="0"/>
          <w:numId w:val="1016"/>
        </w:numPr>
      </w:pPr>
      <w:r>
        <w:t xml:space="preserve">Vitiation doctrine: Finding equivalence would vitiate the "release modifier" limitation</w:t>
      </w:r>
    </w:p>
    <w:bookmarkEnd w:id="28"/>
    <w:p>
      <w:r>
        <w:pict>
          <v:rect style="width:0;height:1.5pt" o:hralign="center" o:hrstd="t" o:hr="t"/>
        </w:pict>
      </w:r>
    </w:p>
    <w:bookmarkEnd w:id="29"/>
    <w:bookmarkStart w:id="34" w:name="regulatorycommercial-arguments"/>
    <w:p>
      <w:pPr>
        <w:pStyle w:val="Heading3"/>
      </w:pPr>
      <w:r>
        <w:t xml:space="preserve">2.2 Regulatory/Commercial Arguments</w:t>
      </w:r>
    </w:p>
    <w:bookmarkStart w:id="30" w:name="X57ee299b2b6d99bbf92a52075df0b7153512d47"/>
    <w:p>
      <w:pPr>
        <w:pStyle w:val="Heading4"/>
      </w:pPr>
      <w:r>
        <w:t xml:space="preserve">MEDIUM</w:t>
      </w:r>
      <w:r>
        <w:t xml:space="preserve"> </w:t>
      </w:r>
      <w:r>
        <w:t xml:space="preserve">Counterargument: 505(b)(2) Reference Barrier</w:t>
      </w:r>
    </w:p>
    <w:p>
      <w:pPr>
        <w:pStyle w:val="FirstParagraph"/>
      </w:pPr>
      <w:r>
        <w:rPr>
          <w:b/>
          <w:bCs/>
        </w:rPr>
        <w:t xml:space="preserve">Veradermics will argue:</w:t>
      </w:r>
    </w:p>
    <w:p>
      <w:pPr>
        <w:pStyle w:val="Compact"/>
        <w:numPr>
          <w:ilvl w:val="0"/>
          <w:numId w:val="1017"/>
        </w:numPr>
      </w:pPr>
      <w:r>
        <w:t xml:space="preserve">If you file a 505(b)(2) referencing our NDA, you must certify against our patent</w:t>
      </w:r>
    </w:p>
    <w:p>
      <w:pPr>
        <w:pStyle w:val="Compact"/>
        <w:numPr>
          <w:ilvl w:val="0"/>
          <w:numId w:val="1017"/>
        </w:numPr>
      </w:pPr>
      <w:r>
        <w:t xml:space="preserve">This triggers automatic 30-month stay if we sue</w:t>
      </w:r>
    </w:p>
    <w:p>
      <w:pPr>
        <w:pStyle w:val="Compact"/>
        <w:numPr>
          <w:ilvl w:val="0"/>
          <w:numId w:val="1017"/>
        </w:numPr>
      </w:pPr>
      <w:r>
        <w:t xml:space="preserve">We will aggressively litigate to delay your approval</w:t>
      </w:r>
    </w:p>
    <w:bookmarkEnd w:id="30"/>
    <w:bookmarkStart w:id="31" w:name="our-rebuttal-8"/>
    <w:p>
      <w:pPr>
        <w:pStyle w:val="Heading4"/>
      </w:pPr>
      <w:r>
        <w:t xml:space="preserve">Our Rebuttal:</w:t>
      </w:r>
    </w:p>
    <w:p>
      <w:pPr>
        <w:pStyle w:val="Compact"/>
        <w:numPr>
          <w:ilvl w:val="0"/>
          <w:numId w:val="1018"/>
        </w:numPr>
      </w:pPr>
      <w:r>
        <w:t xml:space="preserve">We can file IPR before or concurrent with ANDA/505(b)(2) to invalidate the patent</w:t>
      </w:r>
    </w:p>
    <w:p>
      <w:pPr>
        <w:pStyle w:val="Compact"/>
        <w:numPr>
          <w:ilvl w:val="0"/>
          <w:numId w:val="1018"/>
        </w:numPr>
      </w:pPr>
      <w:r>
        <w:t xml:space="preserve">Our compounding route avoids FDA approval entirely - no Hatch-Waxman considerations</w:t>
      </w:r>
    </w:p>
    <w:p>
      <w:pPr>
        <w:pStyle w:val="Compact"/>
        <w:numPr>
          <w:ilvl w:val="0"/>
          <w:numId w:val="1018"/>
        </w:numPr>
      </w:pPr>
      <w:r>
        <w:t xml:space="preserve">If we do seek FDA approval, we can file Paragraph IV certification with invalidity defense</w:t>
      </w:r>
    </w:p>
    <w:p>
      <w:pPr>
        <w:pStyle w:val="Compact"/>
        <w:numPr>
          <w:ilvl w:val="0"/>
          <w:numId w:val="1018"/>
        </w:numPr>
      </w:pPr>
      <w:r>
        <w:t xml:space="preserve">The cost of 30-month litigation may be worth it for the market opportunity</w:t>
      </w:r>
    </w:p>
    <w:bookmarkEnd w:id="31"/>
    <w:bookmarkStart w:id="32" w:name="X5d8dcdac125f6a1fabd4396b1e67514c99bf4cc"/>
    <w:p>
      <w:pPr>
        <w:pStyle w:val="Heading4"/>
      </w:pPr>
      <w:r>
        <w:t xml:space="preserve">WEAK</w:t>
      </w:r>
      <w:r>
        <w:t xml:space="preserve"> </w:t>
      </w:r>
      <w:r>
        <w:t xml:space="preserve">Counterargument: Attack on Compounding Legality</w:t>
      </w:r>
    </w:p>
    <w:p>
      <w:pPr>
        <w:pStyle w:val="FirstParagraph"/>
      </w:pPr>
      <w:r>
        <w:rPr>
          <w:b/>
          <w:bCs/>
        </w:rPr>
        <w:t xml:space="preserve">Veradermics will argue:</w:t>
      </w:r>
    </w:p>
    <w:p>
      <w:pPr>
        <w:pStyle w:val="Compact"/>
        <w:numPr>
          <w:ilvl w:val="0"/>
          <w:numId w:val="1019"/>
        </w:numPr>
      </w:pPr>
      <w:r>
        <w:t xml:space="preserve">Compounding pharmacies can't make "copies" of approved drugs</w:t>
      </w:r>
    </w:p>
    <w:p>
      <w:pPr>
        <w:pStyle w:val="Compact"/>
        <w:numPr>
          <w:ilvl w:val="0"/>
          <w:numId w:val="1019"/>
        </w:numPr>
      </w:pPr>
      <w:r>
        <w:t xml:space="preserve">503A compounding has geographic and volume limitations</w:t>
      </w:r>
    </w:p>
    <w:p>
      <w:pPr>
        <w:pStyle w:val="Compact"/>
        <w:numPr>
          <w:ilvl w:val="0"/>
          <w:numId w:val="1019"/>
        </w:numPr>
      </w:pPr>
      <w:r>
        <w:t xml:space="preserve">Large-scale compounding may violate FDA regulations</w:t>
      </w:r>
    </w:p>
    <w:bookmarkEnd w:id="32"/>
    <w:bookmarkStart w:id="33" w:name="our-rebuttal-9"/>
    <w:p>
      <w:pPr>
        <w:pStyle w:val="Heading4"/>
      </w:pPr>
      <w:r>
        <w:t xml:space="preserve">Our Rebuttal:</w:t>
      </w:r>
    </w:p>
    <w:p>
      <w:pPr>
        <w:pStyle w:val="Compact"/>
        <w:numPr>
          <w:ilvl w:val="0"/>
          <w:numId w:val="1020"/>
        </w:numPr>
      </w:pPr>
      <w:r>
        <w:t xml:space="preserve">Our lipid matrix formulation is NOT a copy of their HPMC product - different composition entirely</w:t>
      </w:r>
    </w:p>
    <w:p>
      <w:pPr>
        <w:pStyle w:val="Compact"/>
        <w:numPr>
          <w:ilvl w:val="0"/>
          <w:numId w:val="1020"/>
        </w:numPr>
      </w:pPr>
      <w:r>
        <w:t xml:space="preserve">Compounding for individual prescriptions is legal under Section 503A</w:t>
      </w:r>
    </w:p>
    <w:p>
      <w:pPr>
        <w:pStyle w:val="Compact"/>
        <w:numPr>
          <w:ilvl w:val="0"/>
          <w:numId w:val="1020"/>
        </w:numPr>
      </w:pPr>
      <w:r>
        <w:t xml:space="preserve">503B outsourcing facilities have broader authority for larger scale</w:t>
      </w:r>
    </w:p>
    <w:p>
      <w:pPr>
        <w:pStyle w:val="Compact"/>
        <w:numPr>
          <w:ilvl w:val="0"/>
          <w:numId w:val="1020"/>
        </w:numPr>
      </w:pPr>
      <w:r>
        <w:t xml:space="preserve">Patent enforcement against compounding pharmacies is impractical and rarely attempted</w:t>
      </w:r>
    </w:p>
    <w:bookmarkEnd w:id="33"/>
    <w:p>
      <w:r>
        <w:pict>
          <v:rect style="width:0;height:1.5pt" o:hralign="center" o:hrstd="t" o:hr="t"/>
        </w:pict>
      </w:r>
    </w:p>
    <w:bookmarkEnd w:id="34"/>
    <w:bookmarkEnd w:id="35"/>
    <w:bookmarkStart w:id="36" w:name="part-3-risk-assessment-summary"/>
    <w:p>
      <w:pPr>
        <w:pStyle w:val="Heading2"/>
      </w:pPr>
      <w:r>
        <w:t xml:space="preserve">Part 3: Risk Assessment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Their Argument</w:t>
            </w:r>
          </w:p>
        </w:tc>
        <w:tc>
          <w:tcPr/>
          <w:p>
            <w:pPr>
              <w:pStyle w:val="Compact"/>
            </w:pPr>
            <w:r>
              <w:t xml:space="preserve">Strength</w:t>
            </w:r>
          </w:p>
        </w:tc>
        <w:tc>
          <w:tcPr/>
          <w:p>
            <w:pPr>
              <w:pStyle w:val="Compact"/>
            </w:pPr>
            <w:r>
              <w:t xml:space="preserve">Our Defense</w:t>
            </w:r>
          </w:p>
        </w:tc>
        <w:tc>
          <w:tcPr/>
          <w:p>
            <w:pPr>
              <w:pStyle w:val="Compact"/>
            </w:pPr>
            <w:r>
              <w:t xml:space="preserve">Residual Risk</w:t>
            </w:r>
          </w:p>
        </w:tc>
      </w:tr>
      <w:tr>
        <w:tc>
          <w:tcPr/>
          <w:p>
            <w:pPr>
              <w:pStyle w:val="Compact"/>
            </w:pPr>
            <w:r>
              <w:t xml:space="preserve">"Modified release" excludes IR (vs. anticipation)</w:t>
            </w:r>
          </w:p>
        </w:tc>
        <w:tc>
          <w:tcPr/>
          <w:p>
            <w:pPr>
              <w:pStyle w:val="Compact"/>
            </w:pPr>
            <w:r>
              <w:t xml:space="preserve">STRONG</w:t>
            </w:r>
          </w:p>
        </w:tc>
        <w:tc>
          <w:tcPr/>
          <w:p>
            <w:pPr>
              <w:pStyle w:val="Compact"/>
            </w:pPr>
            <w:r>
              <w:t xml:space="preserve">Shift to obviousness argument</w:t>
            </w:r>
          </w:p>
        </w:tc>
        <w:tc>
          <w:tcPr/>
          <w:p>
            <w:pPr>
              <w:pStyle w:val="Compact"/>
            </w:pPr>
            <w:r>
              <w:t xml:space="preserve">Low - obviousness is strong</w:t>
            </w:r>
          </w:p>
        </w:tc>
      </w:tr>
      <w:tr>
        <w:tc>
          <w:tcPr/>
          <w:p>
            <w:pPr>
              <w:pStyle w:val="Compact"/>
            </w:pPr>
            <w:r>
              <w:t xml:space="preserve">No motivation to make ER minoxidil</w:t>
            </w:r>
          </w:p>
        </w:tc>
        <w:tc>
          <w:tcPr/>
          <w:p>
            <w:pPr>
              <w:pStyle w:val="Compact"/>
            </w:pPr>
            <w:r>
              <w:t xml:space="preserve">MEDIUM</w:t>
            </w:r>
          </w:p>
        </w:tc>
        <w:tc>
          <w:tcPr/>
          <w:p>
            <w:pPr>
              <w:pStyle w:val="Compact"/>
            </w:pPr>
            <w:r>
              <w:t xml:space="preserve">Prior art shows extensive off-label use</w:t>
            </w:r>
          </w:p>
        </w:tc>
        <w:tc>
          <w:tcPr/>
          <w:p>
            <w:pPr>
              <w:pStyle w:val="Compact"/>
            </w:pPr>
            <w:r>
              <w:t xml:space="preserve">Low</w:t>
            </w:r>
          </w:p>
        </w:tc>
      </w:tr>
      <w:tr>
        <w:tc>
          <w:tcPr/>
          <w:p>
            <w:pPr>
              <w:pStyle w:val="Compact"/>
            </w:pPr>
            <w:r>
              <w:t xml:space="preserve">Unexpected results</w:t>
            </w:r>
          </w:p>
        </w:tc>
        <w:tc>
          <w:tcPr/>
          <w:p>
            <w:pPr>
              <w:pStyle w:val="Compact"/>
            </w:pPr>
            <w:r>
              <w:t xml:space="preserve">MEDIUM</w:t>
            </w:r>
          </w:p>
        </w:tc>
        <w:tc>
          <w:tcPr/>
          <w:p>
            <w:pPr>
              <w:pStyle w:val="Compact"/>
            </w:pPr>
            <w:r>
              <w:t xml:space="preserve">Claims are broad; results are predictable</w:t>
            </w:r>
          </w:p>
        </w:tc>
        <w:tc>
          <w:tcPr/>
          <w:p>
            <w:pPr>
              <w:pStyle w:val="Compact"/>
            </w:pPr>
            <w:r>
              <w:t xml:space="preserve">Low-Medium</w:t>
            </w:r>
          </w:p>
        </w:tc>
      </w:tr>
      <w:tr>
        <w:tc>
          <w:tcPr/>
          <w:p>
            <w:pPr>
              <w:pStyle w:val="Compact"/>
            </w:pPr>
            <w:r>
              <w:t xml:space="preserve">Lipid matrix infringes via DOE</w:t>
            </w:r>
          </w:p>
        </w:tc>
        <w:tc>
          <w:tcPr/>
          <w:p>
            <w:pPr>
              <w:pStyle w:val="Compact"/>
            </w:pPr>
            <w:r>
              <w:t xml:space="preserve">WEAK</w:t>
            </w:r>
          </w:p>
        </w:tc>
        <w:tc>
          <w:tcPr/>
          <w:p>
            <w:pPr>
              <w:pStyle w:val="Compact"/>
            </w:pPr>
            <w:r>
              <w:t xml:space="preserve">Different mechanism; estoppel may apply</w:t>
            </w:r>
          </w:p>
        </w:tc>
        <w:tc>
          <w:tcPr/>
          <w:p>
            <w:pPr>
              <w:pStyle w:val="Compact"/>
            </w:pPr>
            <w:r>
              <w:t xml:space="preserve">Low</w:t>
            </w:r>
          </w:p>
        </w:tc>
      </w:tr>
      <w:tr>
        <w:tc>
          <w:tcPr/>
          <w:p>
            <w:pPr>
              <w:pStyle w:val="Compact"/>
            </w:pPr>
            <w:r>
              <w:t xml:space="preserve">Secondary considerations (commercial success)</w:t>
            </w:r>
          </w:p>
        </w:tc>
        <w:tc>
          <w:tcPr/>
          <w:p>
            <w:pPr>
              <w:pStyle w:val="Compact"/>
            </w:pPr>
            <w:r>
              <w:t xml:space="preserve">WEAK</w:t>
            </w:r>
          </w:p>
        </w:tc>
        <w:tc>
          <w:tcPr/>
          <w:p>
            <w:pPr>
              <w:pStyle w:val="Compact"/>
            </w:pPr>
            <w:r>
              <w:t xml:space="preserve">Success from marketing, not innovation</w:t>
            </w:r>
          </w:p>
        </w:tc>
        <w:tc>
          <w:tcPr/>
          <w:p>
            <w:pPr>
              <w:pStyle w:val="Compact"/>
            </w:pPr>
            <w:r>
              <w:t xml:space="preserve">Very Low</w:t>
            </w:r>
          </w:p>
        </w:tc>
      </w:tr>
      <w:tr>
        <w:tc>
          <w:tcPr/>
          <w:p>
            <w:pPr>
              <w:pStyle w:val="Compact"/>
            </w:pPr>
            <w:r>
              <w:t xml:space="preserve">Teaching away</w:t>
            </w:r>
          </w:p>
        </w:tc>
        <w:tc>
          <w:tcPr/>
          <w:p>
            <w:pPr>
              <w:pStyle w:val="Compact"/>
            </w:pPr>
            <w:r>
              <w:t xml:space="preserve">WEAK</w:t>
            </w:r>
          </w:p>
        </w:tc>
        <w:tc>
          <w:tcPr/>
          <w:p>
            <w:pPr>
              <w:pStyle w:val="Compact"/>
            </w:pPr>
            <w:r>
              <w:t xml:space="preserve">Prior art shows active use, not discouragement</w:t>
            </w:r>
          </w:p>
        </w:tc>
        <w:tc>
          <w:tcPr/>
          <w:p>
            <w:pPr>
              <w:pStyle w:val="Compact"/>
            </w:pPr>
            <w:r>
              <w:t xml:space="preserve">Very Low</w:t>
            </w:r>
          </w:p>
        </w:tc>
      </w:tr>
    </w:tbl>
    <w:p>
      <w:r>
        <w:pict>
          <v:rect style="width:0;height:1.5pt" o:hralign="center" o:hrstd="t" o:hr="t"/>
        </w:pict>
      </w:r>
    </w:p>
    <w:bookmarkEnd w:id="36"/>
    <w:bookmarkStart w:id="41" w:name="part-4-strategic-recommendations"/>
    <w:p>
      <w:pPr>
        <w:pStyle w:val="Heading2"/>
      </w:pPr>
      <w:r>
        <w:t xml:space="preserve">Part 4: Strategic Recommendations</w:t>
      </w:r>
    </w:p>
    <w:bookmarkStart w:id="37" w:name="lead-with-obviousness-not-anticipation"/>
    <w:p>
      <w:pPr>
        <w:pStyle w:val="Heading3"/>
      </w:pPr>
      <w:r>
        <w:t xml:space="preserve">1. Lead with Obviousness, Not Anticipation</w:t>
      </w:r>
    </w:p>
    <w:p>
      <w:pPr>
        <w:pStyle w:val="FirstParagraph"/>
      </w:pPr>
      <w:r>
        <w:t xml:space="preserve">Their strongest defense is that "modified release" excludes IR. By leading with obviousness, we sidestep this issue entirely. The obviousness argument is strong because:</w:t>
      </w:r>
    </w:p>
    <w:p>
      <w:pPr>
        <w:pStyle w:val="Compact"/>
        <w:numPr>
          <w:ilvl w:val="0"/>
          <w:numId w:val="1021"/>
        </w:numPr>
      </w:pPr>
      <w:r>
        <w:t xml:space="preserve">Oral minoxidil for hair loss was known (thousands of patients)</w:t>
      </w:r>
    </w:p>
    <w:p>
      <w:pPr>
        <w:pStyle w:val="Compact"/>
        <w:numPr>
          <w:ilvl w:val="0"/>
          <w:numId w:val="1021"/>
        </w:numPr>
      </w:pPr>
      <w:r>
        <w:t xml:space="preserve">ER formulation to reduce side effects is standard practice</w:t>
      </w:r>
    </w:p>
    <w:p>
      <w:pPr>
        <w:pStyle w:val="Compact"/>
        <w:numPr>
          <w:ilvl w:val="0"/>
          <w:numId w:val="1021"/>
        </w:numPr>
      </w:pPr>
      <w:r>
        <w:t xml:space="preserve">No unexpected results - exactly what POSITA would predict</w:t>
      </w:r>
    </w:p>
    <w:bookmarkEnd w:id="37"/>
    <w:bookmarkStart w:id="38" w:name="emphasize-the-broad-claim-scope-problem"/>
    <w:p>
      <w:pPr>
        <w:pStyle w:val="Heading3"/>
      </w:pPr>
      <w:r>
        <w:t xml:space="preserve">2. Emphasize the Broad Claim Scope Problem</w:t>
      </w:r>
    </w:p>
    <w:p>
      <w:pPr>
        <w:pStyle w:val="FirstParagraph"/>
      </w:pPr>
      <w:r>
        <w:t xml:space="preserve">Their claims have a fundamental problem: they're written to broad PK parameters that any oral minoxidil achieves. They can't argue the claims are narrow enough to avoid prior art AND broad enough to catch our lipid matrix. Force them to pick:</w:t>
      </w:r>
    </w:p>
    <w:p>
      <w:pPr>
        <w:pStyle w:val="Compact"/>
        <w:numPr>
          <w:ilvl w:val="0"/>
          <w:numId w:val="1022"/>
        </w:numPr>
      </w:pPr>
      <w:r>
        <w:t xml:space="preserve">Narrow claims → Don't cover lipid matrix</w:t>
      </w:r>
    </w:p>
    <w:p>
      <w:pPr>
        <w:pStyle w:val="Compact"/>
        <w:numPr>
          <w:ilvl w:val="0"/>
          <w:numId w:val="1022"/>
        </w:numPr>
      </w:pPr>
      <w:r>
        <w:t xml:space="preserve">Broad claims → Anticipated/obvious over prior art</w:t>
      </w:r>
    </w:p>
    <w:bookmarkEnd w:id="38"/>
    <w:bookmarkStart w:id="39" w:name="collect-all-prosecution-history"/>
    <w:p>
      <w:pPr>
        <w:pStyle w:val="Heading3"/>
      </w:pPr>
      <w:r>
        <w:t xml:space="preserve">3. Collect All Prosecution History</w:t>
      </w:r>
    </w:p>
    <w:p>
      <w:pPr>
        <w:pStyle w:val="FirstParagraph"/>
      </w:pPr>
      <w:r>
        <w:t xml:space="preserve">Obtain the complete prosecution file from USPTO. Look for:</w:t>
      </w:r>
    </w:p>
    <w:p>
      <w:pPr>
        <w:pStyle w:val="Compact"/>
        <w:numPr>
          <w:ilvl w:val="0"/>
          <w:numId w:val="1023"/>
        </w:numPr>
      </w:pPr>
      <w:r>
        <w:t xml:space="preserve">Any claim amendments that narrow scope</w:t>
      </w:r>
    </w:p>
    <w:p>
      <w:pPr>
        <w:pStyle w:val="Compact"/>
        <w:numPr>
          <w:ilvl w:val="0"/>
          <w:numId w:val="1023"/>
        </w:numPr>
      </w:pPr>
      <w:r>
        <w:t xml:space="preserve">Arguments made to distinguish prior art</w:t>
      </w:r>
    </w:p>
    <w:p>
      <w:pPr>
        <w:pStyle w:val="Compact"/>
        <w:numPr>
          <w:ilvl w:val="0"/>
          <w:numId w:val="1023"/>
        </w:numPr>
      </w:pPr>
      <w:r>
        <w:t xml:space="preserve">Examiner rejections they overcame</w:t>
      </w:r>
    </w:p>
    <w:p>
      <w:pPr>
        <w:pStyle w:val="FirstParagraph"/>
      </w:pPr>
      <w:r>
        <w:t xml:space="preserve">This may reveal estoppel arguments or admissions that help our case.</w:t>
      </w:r>
    </w:p>
    <w:bookmarkEnd w:id="39"/>
    <w:bookmarkStart w:id="40" w:name="prepare-expert-declarations"/>
    <w:p>
      <w:pPr>
        <w:pStyle w:val="Heading3"/>
      </w:pPr>
      <w:r>
        <w:t xml:space="preserve">4. Prepare Expert Declarations</w:t>
      </w:r>
    </w:p>
    <w:p>
      <w:pPr>
        <w:pStyle w:val="FirstParagraph"/>
      </w:pPr>
      <w:r>
        <w:t xml:space="preserve">Our IPR will be stronger with expert support:</w:t>
      </w:r>
    </w:p>
    <w:p>
      <w:pPr>
        <w:pStyle w:val="Compact"/>
        <w:numPr>
          <w:ilvl w:val="0"/>
          <w:numId w:val="1024"/>
        </w:numPr>
      </w:pPr>
      <w:r>
        <w:rPr>
          <w:b/>
          <w:bCs/>
        </w:rPr>
        <w:t xml:space="preserve">Pharmaceutical Sciences Expert:</w:t>
      </w:r>
      <w:r>
        <w:t xml:space="preserve"> </w:t>
      </w:r>
      <w:r>
        <w:t xml:space="preserve">ER formulation is routine; results predictable</w:t>
      </w:r>
    </w:p>
    <w:p>
      <w:pPr>
        <w:pStyle w:val="Compact"/>
        <w:numPr>
          <w:ilvl w:val="0"/>
          <w:numId w:val="1024"/>
        </w:numPr>
      </w:pPr>
      <w:r>
        <w:rPr>
          <w:b/>
          <w:bCs/>
        </w:rPr>
        <w:t xml:space="preserve">Dermatology Expert:</w:t>
      </w:r>
      <w:r>
        <w:t xml:space="preserve"> </w:t>
      </w:r>
      <w:r>
        <w:t xml:space="preserve">Off-label oral minoxidil was common practice before 2022</w:t>
      </w:r>
    </w:p>
    <w:p>
      <w:pPr>
        <w:pStyle w:val="Compact"/>
        <w:numPr>
          <w:ilvl w:val="0"/>
          <w:numId w:val="1024"/>
        </w:numPr>
      </w:pPr>
      <w:r>
        <w:rPr>
          <w:b/>
          <w:bCs/>
        </w:rPr>
        <w:t xml:space="preserve">PK Expert:</w:t>
      </w:r>
      <w:r>
        <w:t xml:space="preserve"> </w:t>
      </w:r>
      <w:r>
        <w:t xml:space="preserve">IR minoxidil achieves claimed PK parameters</w:t>
      </w:r>
    </w:p>
    <w:bookmarkEnd w:id="40"/>
    <w:p>
      <w:r>
        <w:pict>
          <v:rect style="width:0;height:1.5pt" o:hralign="center" o:hrstd="t" o:hr="t"/>
        </w:pict>
      </w:r>
    </w:p>
    <w:bookmarkEnd w:id="41"/>
    <w:bookmarkStart w:id="43" w:name="conclusion"/>
    <w:p>
      <w:pPr>
        <w:pStyle w:val="Heading2"/>
      </w:pPr>
      <w:r>
        <w:t xml:space="preserve">Conclusion</w:t>
      </w:r>
    </w:p>
    <w:bookmarkStart w:id="42" w:name="Xb5859e962bc042836c9badbae2c8e7b5ea3b9af"/>
    <w:p>
      <w:pPr>
        <w:pStyle w:val="Heading3"/>
      </w:pPr>
      <w:r>
        <w:t xml:space="preserve">Overall Assessment: Our Position is Strong</w:t>
      </w:r>
    </w:p>
    <w:p>
      <w:pPr>
        <w:pStyle w:val="FirstParagraph"/>
      </w:pPr>
      <w:r>
        <w:t xml:space="preserve">Veradermics has counterarguments, but none are fatal to our position:</w:t>
      </w:r>
    </w:p>
    <w:p>
      <w:pPr>
        <w:pStyle w:val="Compact"/>
        <w:numPr>
          <w:ilvl w:val="0"/>
          <w:numId w:val="1025"/>
        </w:numPr>
      </w:pPr>
      <w:r>
        <w:t xml:space="preserve">Their best argument ("modified release" excludes IR) only defeats anticipation, not obviousness</w:t>
      </w:r>
    </w:p>
    <w:p>
      <w:pPr>
        <w:pStyle w:val="Compact"/>
        <w:numPr>
          <w:ilvl w:val="0"/>
          <w:numId w:val="1025"/>
        </w:numPr>
      </w:pPr>
      <w:r>
        <w:t xml:space="preserve">The obviousness case is strong - oral minoxidil for hair loss was known and ER is standard</w:t>
      </w:r>
    </w:p>
    <w:p>
      <w:pPr>
        <w:pStyle w:val="Compact"/>
        <w:numPr>
          <w:ilvl w:val="0"/>
          <w:numId w:val="1025"/>
        </w:numPr>
      </w:pPr>
      <w:r>
        <w:t xml:space="preserve">Their claims have a scope problem - broad enough to be invalid OR narrow enough not to cover our lipid matrix</w:t>
      </w:r>
    </w:p>
    <w:p>
      <w:pPr>
        <w:pStyle w:val="Compact"/>
        <w:numPr>
          <w:ilvl w:val="0"/>
          <w:numId w:val="1025"/>
        </w:numPr>
      </w:pPr>
      <w:r>
        <w:t xml:space="preserve">Our lipid matrix formulation provides an additional layer of non-infringement defense</w:t>
      </w:r>
    </w:p>
    <w:p>
      <w:pPr>
        <w:pStyle w:val="Compact"/>
        <w:numPr>
          <w:ilvl w:val="0"/>
          <w:numId w:val="1025"/>
        </w:numPr>
      </w:pPr>
      <w:r>
        <w:t xml:space="preserve">The compounding route avoids Hatch-Waxman issues entirely</w:t>
      </w:r>
    </w:p>
    <w:p>
      <w:pPr>
        <w:pStyle w:val="FirstParagraph"/>
      </w:pPr>
      <w:r>
        <w:rPr>
          <w:b/>
          <w:bCs/>
        </w:rPr>
        <w:t xml:space="preserve">Recommended Strategy:</w:t>
      </w:r>
      <w:r>
        <w:t xml:space="preserve"> </w:t>
      </w:r>
      <w:r>
        <w:t xml:space="preserve">File IPR with obviousness as the primary ground, maintain lipid matrix as backup non-infringement defense, proceed with compounding while IPR is pending.</w:t>
      </w:r>
    </w:p>
    <w:bookmarkEnd w:id="42"/>
    <w:p>
      <w:r>
        <w:pict>
          <v:rect style="width:0;height:1.5pt" o:hralign="center" o:hrstd="t" o:hr="t"/>
        </w:pict>
      </w:r>
    </w:p>
    <w:p>
      <w:pPr>
        <w:pStyle w:val="FirstParagraph"/>
      </w:pPr>
      <w:r>
        <w:rPr>
          <w:i/>
          <w:iCs/>
        </w:rPr>
        <w:t xml:space="preserve">Document prepared: February 5, 2026</w:t>
      </w:r>
    </w:p>
    <w:p>
      <w:pPr>
        <w:pStyle w:val="BodyText"/>
      </w:pPr>
      <w:r>
        <w:rPr>
          <w:i/>
          <w:iCs/>
        </w:rPr>
        <w:t xml:space="preserve">This analysis is for strategic planning purposes. Consult with patent litigation counsel before taking action.</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Veradermics Counterarguments Analysis</dc:title>
  <dc:creator/>
  <dc:language>en</dc:language>
  <cp:keywords/>
  <dcterms:created xsi:type="dcterms:W3CDTF">2026-02-05T13:35:17Z</dcterms:created>
  <dcterms:modified xsi:type="dcterms:W3CDTF">2026-02-05T13:35:17Z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