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Execution Roadmap: ER Minoxidil Development to Human Use</w:t>
      </w:r>
    </w:p>
    <w:bookmarkStart w:id="90" w:name="execution-roadmap"/>
    <w:p>
      <w:pPr>
        <w:pStyle w:val="Heading1"/>
      </w:pPr>
      <w:r>
        <w:t xml:space="preserve">Execution Roadmap</w:t>
      </w:r>
    </w:p>
    <w:bookmarkStart w:id="10" w:name="from-formulation-to-human-use"/>
    <w:p>
      <w:pPr>
        <w:pStyle w:val="Heading2"/>
      </w:pPr>
      <w:r>
        <w:t xml:space="preserve">From Formulation to Human Use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Product:</w:t>
      </w:r>
      <w:r>
        <w:t xml:space="preserve"> </w:t>
      </w:r>
      <w:r>
        <w:t xml:space="preserve">Extended-Release Minoxidil 8.5 mg (Lipid Matrix)</w:t>
      </w:r>
    </w:p>
    <w:bookmarkStart w:id="9" w:name="overview-5-phases-before-human-use"/>
    <w:p>
      <w:pPr>
        <w:pStyle w:val="Heading3"/>
      </w:pPr>
      <w:r>
        <w:t xml:space="preserve">Overview: 5 Phases Before Human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Cost Estimate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Formulation Development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Dissolution meets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Analytical &amp; QC</w:t>
            </w:r>
          </w:p>
        </w:tc>
        <w:tc>
          <w:tcPr/>
          <w:p>
            <w:pPr>
              <w:pStyle w:val="Compact"/>
            </w:pPr>
            <w:r>
              <w:t xml:space="preserve">2-3 weeks</w:t>
            </w:r>
          </w:p>
        </w:tc>
        <w:tc>
          <w:tcPr/>
          <w:p>
            <w:pPr>
              <w:pStyle w:val="Compact"/>
            </w:pPr>
            <w:r>
              <w:t xml:space="preserve">$3-8K</w:t>
            </w:r>
          </w:p>
        </w:tc>
        <w:tc>
          <w:tcPr/>
          <w:p>
            <w:pPr>
              <w:pStyle w:val="Compact"/>
            </w:pPr>
            <w:r>
              <w:t xml:space="preserve">Methods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Stability Testing</w:t>
            </w:r>
          </w:p>
        </w:tc>
        <w:tc>
          <w:tcPr/>
          <w:p>
            <w:pPr>
              <w:pStyle w:val="Compact"/>
            </w:pPr>
            <w:r>
              <w:t xml:space="preserve">1-6 months (parallel)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No degradation at 1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Animal PK (Optional)</w:t>
            </w:r>
          </w:p>
        </w:tc>
        <w:tc>
          <w:tcPr/>
          <w:p>
            <w:pPr>
              <w:pStyle w:val="Compact"/>
            </w:pPr>
            <w:r>
              <w:t xml:space="preserve">4-6 weeks</w:t>
            </w:r>
          </w:p>
        </w:tc>
        <w:tc>
          <w:tcPr/>
          <w:p>
            <w:pPr>
              <w:pStyle w:val="Compact"/>
            </w:pPr>
            <w:r>
              <w:t xml:space="preserve">$30-50K</w:t>
            </w:r>
          </w:p>
        </w:tc>
        <w:tc>
          <w:tcPr/>
          <w:p>
            <w:pPr>
              <w:pStyle w:val="Compact"/>
            </w:pPr>
            <w:r>
              <w:t xml:space="preserve">PK profile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Compounding Setup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$1-3K</w:t>
            </w:r>
          </w:p>
        </w:tc>
        <w:tc>
          <w:tcPr/>
          <w:p>
            <w:pPr>
              <w:pStyle w:val="Compact"/>
            </w:pPr>
            <w:r>
              <w:t xml:space="preserve">Pharmacy ready to compound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animal PK)</w:t>
            </w:r>
          </w:p>
        </w:tc>
        <w:tc>
          <w:tcPr/>
          <w:p>
            <w:pPr>
              <w:pStyle w:val="Compact"/>
            </w:pPr>
            <w:r>
              <w:t xml:space="preserve">6-10 weeks</w:t>
            </w:r>
          </w:p>
        </w:tc>
        <w:tc>
          <w:tcPr/>
          <w:p>
            <w:pPr>
              <w:pStyle w:val="Compact"/>
            </w:pPr>
            <w:r>
              <w:t xml:space="preserve">$8-21K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(with animal PK)</w:t>
            </w:r>
          </w:p>
        </w:tc>
        <w:tc>
          <w:tcPr/>
          <w:p>
            <w:pPr>
              <w:pStyle w:val="Compact"/>
            </w:pPr>
            <w:r>
              <w:t xml:space="preserve">10-14 weeks</w:t>
            </w:r>
          </w:p>
        </w:tc>
        <w:tc>
          <w:tcPr/>
          <w:p>
            <w:pPr>
              <w:pStyle w:val="Compact"/>
            </w:pPr>
            <w:r>
              <w:t xml:space="preserve">$38-71K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p>
      <w:r>
        <w:pict>
          <v:rect style="width:0;height:1.5pt" o:hralign="center" o:hrstd="t" o:hr="t"/>
        </w:pict>
      </w:r>
    </w:p>
    <w:bookmarkEnd w:id="10"/>
    <w:bookmarkStart w:id="14" w:name="phase-1-formulation-development"/>
    <w:p>
      <w:pPr>
        <w:pStyle w:val="Heading2"/>
      </w:pPr>
      <w:r>
        <w:t xml:space="preserve">Phase 1: Formulation Development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11" w:name="make-test-batches"/>
    <w:p>
      <w:pPr>
        <w:pStyle w:val="Heading3"/>
      </w:pPr>
      <w:r>
        <w:t xml:space="preserve">1.1 Make Test Batches</w:t>
      </w:r>
    </w:p>
    <w:p>
      <w:pPr>
        <w:pStyle w:val="Compact"/>
        <w:numPr>
          <w:ilvl w:val="0"/>
          <w:numId w:val="1001"/>
        </w:numPr>
      </w:pPr>
      <w:r>
        <w:t xml:space="preserve">Source excipients (Compritol, Precirol, PEG 6000, Poloxamer 188, MCC, lactose)</w:t>
      </w:r>
    </w:p>
    <w:p>
      <w:pPr>
        <w:pStyle w:val="Compact"/>
        <w:numPr>
          <w:ilvl w:val="0"/>
          <w:numId w:val="1001"/>
        </w:numPr>
      </w:pPr>
      <w:r>
        <w:t xml:space="preserve">Source minoxidil API (USP grade)</w:t>
      </w:r>
    </w:p>
    <w:p>
      <w:pPr>
        <w:pStyle w:val="Compact"/>
        <w:numPr>
          <w:ilvl w:val="0"/>
          <w:numId w:val="1001"/>
        </w:numPr>
      </w:pPr>
      <w:r>
        <w:t xml:space="preserve">Make 3 small batches (50-100 units each) per the formulation protocol</w:t>
      </w:r>
    </w:p>
    <w:p>
      <w:pPr>
        <w:pStyle w:val="Compact"/>
        <w:numPr>
          <w:ilvl w:val="0"/>
          <w:numId w:val="1001"/>
        </w:numPr>
      </w:pPr>
      <w:r>
        <w:t xml:space="preserve">Document batch records for each</w:t>
      </w:r>
    </w:p>
    <w:p>
      <w:pPr>
        <w:pStyle w:val="Compact"/>
        <w:numPr>
          <w:ilvl w:val="0"/>
          <w:numId w:val="1001"/>
        </w:numPr>
      </w:pPr>
      <w:r>
        <w:t xml:space="preserve">Visual inspection: tablets/capsules uniform, no defects</w:t>
      </w:r>
    </w:p>
    <w:bookmarkEnd w:id="11"/>
    <w:bookmarkStart w:id="12" w:name="dissolution-testing-critical"/>
    <w:p>
      <w:pPr>
        <w:pStyle w:val="Heading3"/>
      </w:pPr>
      <w:r>
        <w:t xml:space="preserve">1.2 Dissolution Testing (Critical)</w:t>
      </w:r>
    </w:p>
    <w:p>
      <w:pPr>
        <w:pStyle w:val="Compact"/>
        <w:numPr>
          <w:ilvl w:val="0"/>
          <w:numId w:val="1002"/>
        </w:numPr>
      </w:pPr>
      <w:r>
        <w:t xml:space="preserve">Run dissolution on each batch (1, 4, 8, 12 hours)</w:t>
      </w:r>
    </w:p>
    <w:p>
      <w:pPr>
        <w:pStyle w:val="Compact"/>
        <w:numPr>
          <w:ilvl w:val="0"/>
          <w:numId w:val="1002"/>
        </w:numPr>
      </w:pPr>
      <w:r>
        <w:t xml:space="preserve">Compare to target: 15-20% (1h), 40-50% (4h), 65-75% (8h), &gt;80% (12h)</w:t>
      </w:r>
    </w:p>
    <w:p>
      <w:pPr>
        <w:pStyle w:val="Compact"/>
        <w:numPr>
          <w:ilvl w:val="0"/>
          <w:numId w:val="1002"/>
        </w:numPr>
      </w:pPr>
      <w:r>
        <w:t xml:space="preserve">If too fast: increase Compritol, decrease PEG</w:t>
      </w:r>
    </w:p>
    <w:p>
      <w:pPr>
        <w:pStyle w:val="Compact"/>
        <w:numPr>
          <w:ilvl w:val="0"/>
          <w:numId w:val="1002"/>
        </w:numPr>
      </w:pPr>
      <w:r>
        <w:t xml:space="preserve">If too slow: decrease Compritol, increase PEG</w:t>
      </w:r>
    </w:p>
    <w:p>
      <w:pPr>
        <w:pStyle w:val="Compact"/>
        <w:numPr>
          <w:ilvl w:val="0"/>
          <w:numId w:val="1002"/>
        </w:numPr>
      </w:pPr>
      <w:r>
        <w:t xml:space="preserve">Iterate until dissolution meets target (may need 2-4 iterations)</w:t>
      </w:r>
    </w:p>
    <w:bookmarkEnd w:id="12"/>
    <w:bookmarkStart w:id="13" w:name="fed-state-dissolution"/>
    <w:p>
      <w:pPr>
        <w:pStyle w:val="Heading3"/>
      </w:pPr>
      <w:r>
        <w:t xml:space="preserve">1.3 Fed-State Dissolution</w:t>
      </w:r>
    </w:p>
    <w:p>
      <w:pPr>
        <w:pStyle w:val="Compact"/>
        <w:numPr>
          <w:ilvl w:val="0"/>
          <w:numId w:val="1003"/>
        </w:numPr>
      </w:pPr>
      <w:r>
        <w:t xml:space="preserve">Run dissolution in FeSSIF or milk (simulates fed state)</w:t>
      </w:r>
    </w:p>
    <w:p>
      <w:pPr>
        <w:pStyle w:val="Compact"/>
        <w:numPr>
          <w:ilvl w:val="0"/>
          <w:numId w:val="1003"/>
        </w:numPr>
      </w:pPr>
      <w:r>
        <w:t xml:space="preserve">Compare to fasted state dissolution</w:t>
      </w:r>
    </w:p>
    <w:p>
      <w:pPr>
        <w:pStyle w:val="Compact"/>
        <w:numPr>
          <w:ilvl w:val="0"/>
          <w:numId w:val="1003"/>
        </w:numPr>
      </w:pPr>
      <w:r>
        <w:t xml:space="preserve">Acceptable if fed-state 4h dissolution is &lt;1.5x fasted</w:t>
      </w:r>
    </w:p>
    <w:p>
      <w:pPr>
        <w:pStyle w:val="Compact"/>
        <w:numPr>
          <w:ilvl w:val="0"/>
          <w:numId w:val="1003"/>
        </w:numPr>
      </w:pPr>
      <w:r>
        <w:t xml:space="preserve">If food effect too high: add calcium stearate or carnauba wax</w:t>
      </w:r>
    </w:p>
    <w:p>
      <w:pPr>
        <w:pStyle w:val="FirstParagraph"/>
      </w:pPr>
      <w:r>
        <w:rPr>
          <w:b/>
          <w:bCs/>
        </w:rPr>
        <w:t xml:space="preserve">Phase 1 Exit Criteria:</w:t>
      </w:r>
    </w:p>
    <w:p>
      <w:pPr>
        <w:pStyle w:val="Compact"/>
        <w:numPr>
          <w:ilvl w:val="0"/>
          <w:numId w:val="1004"/>
        </w:numPr>
      </w:pPr>
      <w:r>
        <w:t xml:space="preserve">Dissolution meets target profile in fasted media</w:t>
      </w:r>
    </w:p>
    <w:p>
      <w:pPr>
        <w:pStyle w:val="Compact"/>
        <w:numPr>
          <w:ilvl w:val="0"/>
          <w:numId w:val="1004"/>
        </w:numPr>
      </w:pPr>
      <w:r>
        <w:t xml:space="preserve">Food effect is acceptable (&lt;1.5x at 4h)</w:t>
      </w:r>
    </w:p>
    <w:p>
      <w:pPr>
        <w:pStyle w:val="Compact"/>
        <w:numPr>
          <w:ilvl w:val="0"/>
          <w:numId w:val="1004"/>
        </w:numPr>
      </w:pPr>
      <w:r>
        <w:t xml:space="preserve">Batch-to-batch variability &lt;15%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phase-2-analytical-quality-control"/>
    <w:p>
      <w:pPr>
        <w:pStyle w:val="Heading2"/>
      </w:pPr>
      <w:r>
        <w:t xml:space="preserve">Phase 2: Analytical &amp; Quality Control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2-3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$3,000-8,000</w:t>
      </w:r>
    </w:p>
    <w:bookmarkStart w:id="15" w:name="assay-method"/>
    <w:p>
      <w:pPr>
        <w:pStyle w:val="Heading3"/>
      </w:pPr>
      <w:r>
        <w:t xml:space="preserve">2.1 Assay Method</w:t>
      </w:r>
    </w:p>
    <w:p>
      <w:pPr>
        <w:pStyle w:val="Compact"/>
        <w:numPr>
          <w:ilvl w:val="0"/>
          <w:numId w:val="1005"/>
        </w:numPr>
      </w:pPr>
      <w:r>
        <w:t xml:space="preserve">HPLC method for minoxidil content (or use compendial USP method)</w:t>
      </w:r>
    </w:p>
    <w:p>
      <w:pPr>
        <w:pStyle w:val="Compact"/>
        <w:numPr>
          <w:ilvl w:val="0"/>
          <w:numId w:val="1005"/>
        </w:numPr>
      </w:pPr>
      <w:r>
        <w:t xml:space="preserve">Verify method works with your matrix (lipid interference check)</w:t>
      </w:r>
    </w:p>
    <w:p>
      <w:pPr>
        <w:pStyle w:val="Compact"/>
        <w:numPr>
          <w:ilvl w:val="0"/>
          <w:numId w:val="1005"/>
        </w:numPr>
      </w:pPr>
      <w:r>
        <w:t xml:space="preserve">Run assay on 3 batches: target 95-105% of label claim</w:t>
      </w:r>
    </w:p>
    <w:bookmarkEnd w:id="15"/>
    <w:bookmarkStart w:id="16" w:name="content-uniformity"/>
    <w:p>
      <w:pPr>
        <w:pStyle w:val="Heading3"/>
      </w:pPr>
      <w:r>
        <w:t xml:space="preserve">2.2 Content Uniformity</w:t>
      </w:r>
    </w:p>
    <w:p>
      <w:pPr>
        <w:pStyle w:val="Compact"/>
        <w:numPr>
          <w:ilvl w:val="0"/>
          <w:numId w:val="1006"/>
        </w:numPr>
      </w:pPr>
      <w:r>
        <w:t xml:space="preserve">Test 10 individual units from each batch</w:t>
      </w:r>
    </w:p>
    <w:p>
      <w:pPr>
        <w:pStyle w:val="Compact"/>
        <w:numPr>
          <w:ilvl w:val="0"/>
          <w:numId w:val="1006"/>
        </w:numPr>
      </w:pPr>
      <w:r>
        <w:t xml:space="preserve">Calculate AV (Acceptance Value) per USP &lt;905&gt;</w:t>
      </w:r>
    </w:p>
    <w:p>
      <w:pPr>
        <w:pStyle w:val="Compact"/>
        <w:numPr>
          <w:ilvl w:val="0"/>
          <w:numId w:val="1006"/>
        </w:numPr>
      </w:pPr>
      <w:r>
        <w:t xml:space="preserve">Target: AV ≤ 15.0</w:t>
      </w:r>
    </w:p>
    <w:bookmarkEnd w:id="16"/>
    <w:bookmarkStart w:id="17" w:name="physical-tests"/>
    <w:p>
      <w:pPr>
        <w:pStyle w:val="Heading3"/>
      </w:pPr>
      <w:r>
        <w:t xml:space="preserve">2.3 Physical Tests</w:t>
      </w:r>
    </w:p>
    <w:p>
      <w:pPr>
        <w:pStyle w:val="Compact"/>
        <w:numPr>
          <w:ilvl w:val="0"/>
          <w:numId w:val="1007"/>
        </w:numPr>
      </w:pPr>
      <w:r>
        <w:t xml:space="preserve">Weight variation (±5%)</w:t>
      </w:r>
    </w:p>
    <w:p>
      <w:pPr>
        <w:pStyle w:val="Compact"/>
        <w:numPr>
          <w:ilvl w:val="0"/>
          <w:numId w:val="1007"/>
        </w:numPr>
      </w:pPr>
      <w:r>
        <w:t xml:space="preserve">Hardness (tablets): 6-10 kP</w:t>
      </w:r>
    </w:p>
    <w:p>
      <w:pPr>
        <w:pStyle w:val="Compact"/>
        <w:numPr>
          <w:ilvl w:val="0"/>
          <w:numId w:val="1007"/>
        </w:numPr>
      </w:pPr>
      <w:r>
        <w:t xml:space="preserve">Friability (tablets): &lt;1.0%</w:t>
      </w:r>
    </w:p>
    <w:p>
      <w:pPr>
        <w:pStyle w:val="Compact"/>
        <w:numPr>
          <w:ilvl w:val="0"/>
          <w:numId w:val="1007"/>
        </w:numPr>
      </w:pPr>
      <w:r>
        <w:t xml:space="preserve">Disintegration: should NOT disintegrate in &lt;1 hour (it's ER)</w:t>
      </w:r>
    </w:p>
    <w:p>
      <w:pPr>
        <w:pStyle w:val="FirstParagraph"/>
      </w:pPr>
      <w:r>
        <w:rPr>
          <w:b/>
          <w:bCs/>
        </w:rPr>
        <w:t xml:space="preserve">Phase 2 Exit Criteria:</w:t>
      </w:r>
    </w:p>
    <w:p>
      <w:pPr>
        <w:pStyle w:val="Compact"/>
        <w:numPr>
          <w:ilvl w:val="0"/>
          <w:numId w:val="1008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08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08"/>
        </w:numPr>
      </w:pPr>
      <w:r>
        <w:t xml:space="preserve">Physical tests pass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hase-3-stability-testing"/>
    <w:p>
      <w:pPr>
        <w:pStyle w:val="Heading2"/>
      </w:pPr>
      <w:r>
        <w:t xml:space="preserve">Phase 3: Stability Testing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Ongoing (1-6 months)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19" w:name="accelerated-stability"/>
    <w:p>
      <w:pPr>
        <w:pStyle w:val="Heading3"/>
      </w:pPr>
      <w:r>
        <w:t xml:space="preserve">3.1 Accelerated Stability</w:t>
      </w:r>
    </w:p>
    <w:p>
      <w:pPr>
        <w:pStyle w:val="Compact"/>
        <w:numPr>
          <w:ilvl w:val="0"/>
          <w:numId w:val="1009"/>
        </w:numPr>
      </w:pPr>
      <w:r>
        <w:t xml:space="preserve">Place samples at 40°C / 75% RH</w:t>
      </w:r>
    </w:p>
    <w:p>
      <w:pPr>
        <w:pStyle w:val="Compact"/>
        <w:numPr>
          <w:ilvl w:val="0"/>
          <w:numId w:val="1009"/>
        </w:numPr>
      </w:pPr>
      <w:r>
        <w:t xml:space="preserve">Test at: 1 week, 2 weeks, 1 month, 3 months, 6 months</w:t>
      </w:r>
    </w:p>
    <w:p>
      <w:pPr>
        <w:pStyle w:val="Compact"/>
        <w:numPr>
          <w:ilvl w:val="0"/>
          <w:numId w:val="1009"/>
        </w:numPr>
      </w:pPr>
      <w:r>
        <w:t xml:space="preserve">Test: Appearance, Assay, Dissolution, DSC (lipid form)</w:t>
      </w:r>
    </w:p>
    <w:bookmarkEnd w:id="19"/>
    <w:bookmarkStart w:id="20" w:name="real-time-stability"/>
    <w:p>
      <w:pPr>
        <w:pStyle w:val="Heading3"/>
      </w:pPr>
      <w:r>
        <w:t xml:space="preserve">3.2 Real-Time Stability</w:t>
      </w:r>
    </w:p>
    <w:p>
      <w:pPr>
        <w:pStyle w:val="Compact"/>
        <w:numPr>
          <w:ilvl w:val="0"/>
          <w:numId w:val="1010"/>
        </w:numPr>
      </w:pPr>
      <w:r>
        <w:t xml:space="preserve">Place samples at 25°C / 60% RH</w:t>
      </w:r>
    </w:p>
    <w:p>
      <w:pPr>
        <w:pStyle w:val="Compact"/>
        <w:numPr>
          <w:ilvl w:val="0"/>
          <w:numId w:val="1010"/>
        </w:numPr>
      </w:pPr>
      <w:r>
        <w:t xml:space="preserve">Test at: 1 month, 3 months, 6 months, 12 months</w:t>
      </w:r>
    </w:p>
    <w:p>
      <w:pPr>
        <w:pStyle w:val="Compact"/>
        <w:numPr>
          <w:ilvl w:val="0"/>
          <w:numId w:val="1010"/>
        </w:numPr>
      </w:pPr>
      <w:r>
        <w:t xml:space="preserve">This runs in parallel - don't wait for completion</w:t>
      </w:r>
    </w:p>
    <w:bookmarkEnd w:id="20"/>
    <w:bookmarkStart w:id="21" w:name="dscxrd-monitoring-polymorphism"/>
    <w:p>
      <w:pPr>
        <w:pStyle w:val="Heading3"/>
      </w:pPr>
      <w:r>
        <w:t xml:space="preserve">3.3 DSC/XRD Monitoring (Polymorphism)</w:t>
      </w:r>
    </w:p>
    <w:p>
      <w:pPr>
        <w:pStyle w:val="Compact"/>
        <w:numPr>
          <w:ilvl w:val="0"/>
          <w:numId w:val="1011"/>
        </w:numPr>
      </w:pPr>
      <w:r>
        <w:t xml:space="preserve">Run DSC at T0 and each stability timepoint</w:t>
      </w:r>
    </w:p>
    <w:p>
      <w:pPr>
        <w:pStyle w:val="Compact"/>
        <w:numPr>
          <w:ilvl w:val="0"/>
          <w:numId w:val="1011"/>
        </w:numPr>
      </w:pPr>
      <w:r>
        <w:t xml:space="preserve">Watch for peak shifts indicating polymorphic transition</w:t>
      </w:r>
    </w:p>
    <w:p>
      <w:pPr>
        <w:pStyle w:val="Compact"/>
        <w:numPr>
          <w:ilvl w:val="0"/>
          <w:numId w:val="1011"/>
        </w:numPr>
      </w:pPr>
      <w:r>
        <w:t xml:space="preserve">If dissolution slows &gt;15% at 1 month accelerated: investigate</w:t>
      </w:r>
    </w:p>
    <w:p>
      <w:pPr>
        <w:pStyle w:val="FirstParagraph"/>
      </w:pPr>
      <w:r>
        <w:rPr>
          <w:b/>
          <w:bCs/>
        </w:rPr>
        <w:t xml:space="preserve">Minimum Before Human Use:</w:t>
      </w:r>
    </w:p>
    <w:p>
      <w:pPr>
        <w:pStyle w:val="Compact"/>
        <w:numPr>
          <w:ilvl w:val="0"/>
          <w:numId w:val="1012"/>
        </w:numPr>
      </w:pPr>
      <w:r>
        <w:t xml:space="preserve">1-month accelerated stability data with no significant changes</w:t>
      </w:r>
    </w:p>
    <w:p>
      <w:pPr>
        <w:pStyle w:val="Compact"/>
        <w:numPr>
          <w:ilvl w:val="0"/>
          <w:numId w:val="1012"/>
        </w:numPr>
      </w:pPr>
      <w:r>
        <w:t xml:space="preserve">Dissolution within ±10% of initial</w:t>
      </w:r>
    </w:p>
    <w:p>
      <w:pPr>
        <w:pStyle w:val="Compact"/>
        <w:numPr>
          <w:ilvl w:val="0"/>
          <w:numId w:val="1012"/>
        </w:numPr>
      </w:pPr>
      <w:r>
        <w:t xml:space="preserve">No assay drop &gt;5%</w:t>
      </w:r>
    </w:p>
    <w:p>
      <w:pPr>
        <w:pStyle w:val="FirstParagraph"/>
      </w:pPr>
      <w:r>
        <w:t xml:space="preserve">You can proceed to human use after 1-month accelerated data while continuing longer stability studies.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2e7b94baef5ed53505fd0ba8ee5225f2660940"/>
    <w:p>
      <w:pPr>
        <w:pStyle w:val="Heading2"/>
      </w:pPr>
      <w:r>
        <w:t xml:space="preserve">Phase 4: Animal PK Study (Recommended but Optional)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4-6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$30,000-50,000</w:t>
      </w:r>
    </w:p>
    <w:bookmarkStart w:id="23" w:name="study-design"/>
    <w:p>
      <w:pPr>
        <w:pStyle w:val="Heading3"/>
      </w:pPr>
      <w:r>
        <w:t xml:space="preserve">4.1 Study Design</w:t>
      </w:r>
    </w:p>
    <w:p>
      <w:pPr>
        <w:pStyle w:val="Compact"/>
        <w:numPr>
          <w:ilvl w:val="0"/>
          <w:numId w:val="1013"/>
        </w:numPr>
      </w:pPr>
      <w:r>
        <w:t xml:space="preserve">Species: Beagle dogs (n=6)</w:t>
      </w:r>
    </w:p>
    <w:p>
      <w:pPr>
        <w:pStyle w:val="Compact"/>
        <w:numPr>
          <w:ilvl w:val="0"/>
          <w:numId w:val="1013"/>
        </w:numPr>
      </w:pPr>
      <w:r>
        <w:t xml:space="preserve">Design: 3-way crossover (ER fasted, ER fed, IR solution)</w:t>
      </w:r>
    </w:p>
    <w:p>
      <w:pPr>
        <w:pStyle w:val="Compact"/>
        <w:numPr>
          <w:ilvl w:val="0"/>
          <w:numId w:val="1013"/>
        </w:numPr>
      </w:pPr>
      <w:r>
        <w:t xml:space="preserve">Dose: ~2-3 mg/kg (approximately 20-30 mg per dog)</w:t>
      </w:r>
    </w:p>
    <w:p>
      <w:pPr>
        <w:pStyle w:val="Compact"/>
        <w:numPr>
          <w:ilvl w:val="0"/>
          <w:numId w:val="1013"/>
        </w:numPr>
      </w:pPr>
      <w:r>
        <w:t xml:space="preserve">Washout: 1 week between periods</w:t>
      </w:r>
    </w:p>
    <w:bookmarkEnd w:id="23"/>
    <w:bookmarkStart w:id="24" w:name="sampling-analysis"/>
    <w:p>
      <w:pPr>
        <w:pStyle w:val="Heading3"/>
      </w:pPr>
      <w:r>
        <w:t xml:space="preserve">4.2 Sampling &amp; Analysis</w:t>
      </w:r>
    </w:p>
    <w:p>
      <w:pPr>
        <w:pStyle w:val="Compact"/>
        <w:numPr>
          <w:ilvl w:val="0"/>
          <w:numId w:val="1014"/>
        </w:numPr>
      </w:pPr>
      <w:r>
        <w:t xml:space="preserve">Blood samples: pre-dose, 0.5, 1, 2, 3, 4, 6, 8, 12, 24h</w:t>
      </w:r>
    </w:p>
    <w:p>
      <w:pPr>
        <w:pStyle w:val="Compact"/>
        <w:numPr>
          <w:ilvl w:val="0"/>
          <w:numId w:val="1014"/>
        </w:numPr>
      </w:pPr>
      <w:r>
        <w:t xml:space="preserve">Plasma separation and storage at -80°C</w:t>
      </w:r>
    </w:p>
    <w:p>
      <w:pPr>
        <w:pStyle w:val="Compact"/>
        <w:numPr>
          <w:ilvl w:val="0"/>
          <w:numId w:val="1014"/>
        </w:numPr>
      </w:pPr>
      <w:r>
        <w:t xml:space="preserve">LC-MS/MS analysis for minoxidil</w:t>
      </w:r>
    </w:p>
    <w:p>
      <w:pPr>
        <w:pStyle w:val="Compact"/>
        <w:numPr>
          <w:ilvl w:val="0"/>
          <w:numId w:val="1014"/>
        </w:numPr>
      </w:pPr>
      <w:r>
        <w:t xml:space="preserve">Calculate: Cmax, Tmax, AUC0-24, food effect ratio</w:t>
      </w:r>
    </w:p>
    <w:bookmarkEnd w:id="24"/>
    <w:bookmarkStart w:id="25" w:name="success-criteria"/>
    <w:p>
      <w:pPr>
        <w:pStyle w:val="Heading3"/>
      </w:pPr>
      <w:r>
        <w:t xml:space="preserve">4.3 Success Criteria</w:t>
      </w:r>
    </w:p>
    <w:p>
      <w:pPr>
        <w:pStyle w:val="Compact"/>
        <w:numPr>
          <w:ilvl w:val="0"/>
          <w:numId w:val="1015"/>
        </w:numPr>
      </w:pPr>
      <w:r>
        <w:t xml:space="preserve">Tmax delayed ≥2 hours vs IR</w:t>
      </w:r>
    </w:p>
    <w:p>
      <w:pPr>
        <w:pStyle w:val="Compact"/>
        <w:numPr>
          <w:ilvl w:val="0"/>
          <w:numId w:val="1015"/>
        </w:numPr>
      </w:pPr>
      <w:r>
        <w:t xml:space="preserve">Cmax reduced ≥25% vs IR</w:t>
      </w:r>
    </w:p>
    <w:p>
      <w:pPr>
        <w:pStyle w:val="Compact"/>
        <w:numPr>
          <w:ilvl w:val="0"/>
          <w:numId w:val="1015"/>
        </w:numPr>
      </w:pPr>
      <w:r>
        <w:t xml:space="preserve">AUC ≥70% of IR (bioavailability acceptable)</w:t>
      </w:r>
    </w:p>
    <w:p>
      <w:pPr>
        <w:pStyle w:val="Compact"/>
        <w:numPr>
          <w:ilvl w:val="0"/>
          <w:numId w:val="1015"/>
        </w:numPr>
      </w:pPr>
      <w:r>
        <w:t xml:space="preserve">Food effect &lt;2-fold on Cmax</w:t>
      </w:r>
    </w:p>
    <w:p>
      <w:pPr>
        <w:pStyle w:val="FirstParagraph"/>
      </w:pPr>
      <w:r>
        <w:rPr>
          <w:b/>
          <w:bCs/>
        </w:rPr>
        <w:t xml:space="preserve">When to Skip Animal PK:</w:t>
      </w:r>
    </w:p>
    <w:p>
      <w:pPr>
        <w:pStyle w:val="Compact"/>
        <w:numPr>
          <w:ilvl w:val="0"/>
          <w:numId w:val="1016"/>
        </w:numPr>
      </w:pPr>
      <w:r>
        <w:t xml:space="preserve">If going compounding-only route (503A)</w:t>
      </w:r>
    </w:p>
    <w:p>
      <w:pPr>
        <w:pStyle w:val="Compact"/>
        <w:numPr>
          <w:ilvl w:val="0"/>
          <w:numId w:val="1016"/>
        </w:numPr>
      </w:pPr>
      <w:r>
        <w:t xml:space="preserve">If dissolution data looks excellent</w:t>
      </w:r>
    </w:p>
    <w:p>
      <w:pPr>
        <w:pStyle w:val="Compact"/>
        <w:numPr>
          <w:ilvl w:val="0"/>
          <w:numId w:val="1016"/>
        </w:numPr>
      </w:pPr>
      <w:r>
        <w:t xml:space="preserve">If budget is limited - can do human PK directly (with physician oversight)</w:t>
      </w:r>
    </w:p>
    <w:p>
      <w:pPr>
        <w:pStyle w:val="FirstParagraph"/>
      </w:pPr>
      <w:r>
        <w:t xml:space="preserve">Animal PK de-risks but isn't strictly required for compounding.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X49aa2fafb7a7b2d9139983ff05bda8b23a0011b"/>
    <w:p>
      <w:pPr>
        <w:pStyle w:val="Heading2"/>
      </w:pPr>
      <w:r>
        <w:t xml:space="preserve">Phase 4B: Human PK Testing (Recommended Alternative to Animal)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$1,500-4,000</w:t>
      </w:r>
    </w:p>
    <w:bookmarkStart w:id="27" w:name="why-human-self-testing-makes-sense-here"/>
    <w:p>
      <w:pPr>
        <w:pStyle w:val="Heading4"/>
      </w:pPr>
      <w:r>
        <w:t xml:space="preserve">Why Human Self-Testing Makes Sense 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Dog PK Study</w:t>
            </w:r>
          </w:p>
        </w:tc>
        <w:tc>
          <w:tcPr/>
          <w:p>
            <w:pPr>
              <w:pStyle w:val="Compact"/>
            </w:pPr>
            <w:r>
              <w:t xml:space="preserve">Physician Self-Test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$30,000 - $50,000</w:t>
            </w:r>
          </w:p>
        </w:tc>
        <w:tc>
          <w:tcPr/>
          <w:p>
            <w:pPr>
              <w:pStyle w:val="Compact"/>
            </w:pPr>
            <w:r>
              <w:t xml:space="preserve">$1,500 - 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6-10 weeks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</w:pPr>
            <w:r>
              <w:t xml:space="preserve">Dogs ≠ humans (different GI physiology)</w:t>
            </w:r>
          </w:p>
        </w:tc>
        <w:tc>
          <w:tcPr/>
          <w:p>
            <w:pPr>
              <w:pStyle w:val="Compact"/>
            </w:pPr>
            <w:r>
              <w:t xml:space="preserve">Direct human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Minoxidil safety data</w:t>
            </w:r>
          </w:p>
        </w:tc>
        <w:tc>
          <w:tcPr/>
          <w:p>
            <w:pPr>
              <w:pStyle w:val="Compact"/>
            </w:pPr>
            <w:r>
              <w:t xml:space="preserve">Requires vet oversight</w:t>
            </w:r>
          </w:p>
        </w:tc>
        <w:tc>
          <w:tcPr/>
          <w:p>
            <w:pPr>
              <w:pStyle w:val="Compact"/>
            </w:pPr>
            <w:r>
              <w:t xml:space="preserve">45+ years of human safety data at these doses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Minoxidil is already FDA-approved for human oral use. The physician isn't testing a new drug - he's testing a new</w:t>
      </w:r>
      <w:r>
        <w:t xml:space="preserve"> </w:t>
      </w:r>
      <w:r>
        <w:rPr>
          <w:i/>
          <w:iCs/>
        </w:rPr>
        <w:t xml:space="preserve">formulation</w:t>
      </w:r>
      <w:r>
        <w:t xml:space="preserve"> </w:t>
      </w:r>
      <w:r>
        <w:t xml:space="preserve">of a known, safe drug at established therapeutic doses.</w:t>
      </w:r>
    </w:p>
    <w:bookmarkEnd w:id="27"/>
    <w:bookmarkStart w:id="28" w:name="b.1-pre-requisites-for-human-pk-testing"/>
    <w:p>
      <w:pPr>
        <w:pStyle w:val="Heading3"/>
      </w:pPr>
      <w:r>
        <w:t xml:space="preserve">4B.1 Pre-Requisites for Human PK Testing</w:t>
      </w:r>
    </w:p>
    <w:p>
      <w:pPr>
        <w:pStyle w:val="Compact"/>
        <w:numPr>
          <w:ilvl w:val="0"/>
          <w:numId w:val="1017"/>
        </w:numPr>
      </w:pPr>
      <w:r>
        <w:t xml:space="preserve">Dissolution testing completed and meets target profile</w:t>
      </w:r>
    </w:p>
    <w:p>
      <w:pPr>
        <w:pStyle w:val="Compact"/>
        <w:numPr>
          <w:ilvl w:val="0"/>
          <w:numId w:val="1017"/>
        </w:numPr>
      </w:pPr>
      <w:r>
        <w:t xml:space="preserve">Assay confirms 95-105% of label claim</w:t>
      </w:r>
    </w:p>
    <w:p>
      <w:pPr>
        <w:pStyle w:val="Compact"/>
        <w:numPr>
          <w:ilvl w:val="0"/>
          <w:numId w:val="1017"/>
        </w:numPr>
      </w:pPr>
      <w:r>
        <w:t xml:space="preserve">Content uniformity passes (AV ≤ 15.0)</w:t>
      </w:r>
    </w:p>
    <w:p>
      <w:pPr>
        <w:pStyle w:val="Compact"/>
        <w:numPr>
          <w:ilvl w:val="0"/>
          <w:numId w:val="1017"/>
        </w:numPr>
      </w:pPr>
      <w:r>
        <w:t xml:space="preserve">Physician volunteer is healthy, normotensive (BP &gt; 100/60)</w:t>
      </w:r>
    </w:p>
    <w:p>
      <w:pPr>
        <w:pStyle w:val="Compact"/>
        <w:numPr>
          <w:ilvl w:val="0"/>
          <w:numId w:val="1017"/>
        </w:numPr>
      </w:pPr>
      <w:r>
        <w:t xml:space="preserve">Physician has informed themselves of risks and consents</w:t>
      </w:r>
    </w:p>
    <w:p>
      <w:pPr>
        <w:pStyle w:val="Compact"/>
        <w:numPr>
          <w:ilvl w:val="0"/>
          <w:numId w:val="1017"/>
        </w:numPr>
      </w:pPr>
      <w:r>
        <w:t xml:space="preserve">Someone else knows the protocol in case of emergency</w:t>
      </w:r>
    </w:p>
    <w:p>
      <w:pPr>
        <w:pStyle w:val="Compact"/>
        <w:numPr>
          <w:ilvl w:val="0"/>
          <w:numId w:val="1017"/>
        </w:numPr>
      </w:pPr>
      <w:r>
        <w:t xml:space="preserve">BP cuff and pulse oximeter available</w:t>
      </w:r>
    </w:p>
    <w:p>
      <w:pPr>
        <w:pStyle w:val="Compact"/>
        <w:numPr>
          <w:ilvl w:val="0"/>
          <w:numId w:val="1017"/>
        </w:numPr>
      </w:pPr>
      <w:r>
        <w:t xml:space="preserve">Bioanalytical lab identified for minoxidil plasma assay</w:t>
      </w:r>
    </w:p>
    <w:bookmarkEnd w:id="28"/>
    <w:bookmarkStart w:id="30" w:name="b.2-fasted-pk-study-protocol"/>
    <w:p>
      <w:pPr>
        <w:pStyle w:val="Heading3"/>
      </w:pPr>
      <w:r>
        <w:t xml:space="preserve">4B.2 Fasted PK Study Protocol</w:t>
      </w:r>
    </w:p>
    <w:bookmarkStart w:id="29" w:name="day-1-fasted-condition"/>
    <w:p>
      <w:pPr>
        <w:pStyle w:val="Heading4"/>
      </w:pPr>
      <w:r>
        <w:t xml:space="preserve">Day 1: Fasted Condition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before</w:t>
            </w:r>
          </w:p>
        </w:tc>
        <w:tc>
          <w:tcPr/>
          <w:p>
            <w:pPr>
              <w:pStyle w:val="Compact"/>
            </w:pPr>
            <w:r>
              <w:t xml:space="preserve">No food after 10 PM</w:t>
            </w:r>
          </w:p>
        </w:tc>
        <w:tc>
          <w:tcPr/>
          <w:p>
            <w:pPr>
              <w:pStyle w:val="Compact"/>
            </w:pPr>
            <w:r>
              <w:t xml:space="preserve">Water permitted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Baseline blood draw (T=0)</w:t>
            </w:r>
          </w:p>
        </w:tc>
        <w:tc>
          <w:tcPr/>
          <w:p>
            <w:pPr>
              <w:pStyle w:val="Compact"/>
            </w:pPr>
            <w:r>
              <w:t xml:space="preserve">Before dosing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Check BP and HR</w:t>
            </w:r>
          </w:p>
        </w:tc>
        <w:tc>
          <w:tcPr/>
          <w:p>
            <w:pPr>
              <w:pStyle w:val="Compact"/>
            </w:pPr>
            <w:r>
              <w:t xml:space="preserve">Record baseline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AM</w:t>
            </w:r>
          </w:p>
        </w:tc>
        <w:tc>
          <w:tcPr/>
          <w:p>
            <w:pPr>
              <w:pStyle w:val="Compact"/>
            </w:pPr>
            <w:r>
              <w:t xml:space="preserve">Take 1 capsule (8.5 mg) with 240 mL water</w:t>
            </w:r>
          </w:p>
        </w:tc>
        <w:tc>
          <w:tcPr/>
          <w:p>
            <w:pPr>
              <w:pStyle w:val="Compact"/>
            </w:pPr>
            <w:r>
              <w:t xml:space="preserve">Note exact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Blood draw (T=0.5h)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9:00 AM</w:t>
            </w:r>
          </w:p>
        </w:tc>
        <w:tc>
          <w:tcPr/>
          <w:p>
            <w:pPr>
              <w:pStyle w:val="Compact"/>
            </w:pPr>
            <w:r>
              <w:t xml:space="preserve">Blood draw (T=1h) + vitals</w:t>
            </w:r>
          </w:p>
        </w:tc>
        <w:tc>
          <w:tcPr/>
          <w:p>
            <w:pPr>
              <w:pStyle w:val="Compact"/>
            </w:pPr>
            <w:r>
              <w:t xml:space="preserve">Check BP/HR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AM</w:t>
            </w:r>
          </w:p>
        </w:tc>
        <w:tc>
          <w:tcPr/>
          <w:p>
            <w:pPr>
              <w:pStyle w:val="Compact"/>
            </w:pPr>
            <w:r>
              <w:t xml:space="preserve">Blood draw (T=2h) + vitals</w:t>
            </w:r>
          </w:p>
        </w:tc>
        <w:tc>
          <w:tcPr/>
          <w:p>
            <w:pPr>
              <w:pStyle w:val="Compact"/>
            </w:pPr>
            <w:r>
              <w:t xml:space="preserve">Check BP/HR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 AM</w:t>
            </w:r>
          </w:p>
        </w:tc>
        <w:tc>
          <w:tcPr/>
          <w:p>
            <w:pPr>
              <w:pStyle w:val="Compact"/>
            </w:pPr>
            <w:r>
              <w:t xml:space="preserve">Blood draw (T=3h)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12:00 PM</w:t>
            </w:r>
          </w:p>
        </w:tc>
        <w:tc>
          <w:tcPr/>
          <w:p>
            <w:pPr>
              <w:pStyle w:val="Compact"/>
            </w:pPr>
            <w:r>
              <w:t xml:space="preserve">Blood draw (T=4h) + vitals</w:t>
            </w:r>
          </w:p>
        </w:tc>
        <w:tc>
          <w:tcPr/>
          <w:p>
            <w:pPr>
              <w:pStyle w:val="Compact"/>
            </w:pPr>
            <w:r>
              <w:t xml:space="preserve">Can eat light meal after this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2:00 PM</w:t>
            </w:r>
          </w:p>
        </w:tc>
        <w:tc>
          <w:tcPr/>
          <w:p>
            <w:pPr>
              <w:pStyle w:val="Compact"/>
            </w:pPr>
            <w:r>
              <w:t xml:space="preserve">Blood draw (T=6h)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4:00 PM</w:t>
            </w:r>
          </w:p>
        </w:tc>
        <w:tc>
          <w:tcPr/>
          <w:p>
            <w:pPr>
              <w:pStyle w:val="Compact"/>
            </w:pPr>
            <w:r>
              <w:t xml:space="preserve">Blood draw (T=8h)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8:00 PM</w:t>
            </w:r>
          </w:p>
        </w:tc>
        <w:tc>
          <w:tcPr/>
          <w:p>
            <w:pPr>
              <w:pStyle w:val="Compact"/>
            </w:pPr>
            <w:r>
              <w:t xml:space="preserve">Blood draw (T=12h) - final</w:t>
            </w:r>
          </w:p>
        </w:tc>
        <w:tc>
          <w:tcPr/>
          <w:p>
            <w:pPr>
              <w:pStyle w:val="Compact"/>
            </w:pPr>
            <w:r>
              <w:t xml:space="preserve">End of Day 1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blood draws:</w:t>
      </w:r>
      <w:r>
        <w:t xml:space="preserve"> </w:t>
      </w:r>
      <w:r>
        <w:t xml:space="preserve">9 samples (approximately 45 mL total blood)</w:t>
      </w:r>
    </w:p>
    <w:bookmarkEnd w:id="29"/>
    <w:bookmarkEnd w:id="30"/>
    <w:bookmarkStart w:id="31" w:name="b.3-washout-period"/>
    <w:p>
      <w:pPr>
        <w:pStyle w:val="Heading3"/>
      </w:pPr>
      <w:r>
        <w:t xml:space="preserve">4B.3 Washout Period</w:t>
      </w:r>
    </w:p>
    <w:p>
      <w:pPr>
        <w:pStyle w:val="FirstParagraph"/>
      </w:pPr>
      <w:r>
        <w:rPr>
          <w:b/>
          <w:bCs/>
        </w:rPr>
        <w:t xml:space="preserve">Days 2-7: Washout Period</w:t>
      </w:r>
    </w:p>
    <w:p>
      <w:pPr>
        <w:pStyle w:val="BodyText"/>
      </w:pPr>
      <w:r>
        <w:t xml:space="preserve">Wait at least 5-7 days between fasted and fed studies. Minoxidil half-life is ~4 hours, but its effects on blood pressure can persist longer. A full week ensures complete washout.</w:t>
      </w:r>
    </w:p>
    <w:bookmarkEnd w:id="31"/>
    <w:bookmarkStart w:id="33" w:name="b.4-fed-pk-study-protocol"/>
    <w:p>
      <w:pPr>
        <w:pStyle w:val="Heading3"/>
      </w:pPr>
      <w:r>
        <w:t xml:space="preserve">4B.4 Fed PK Study Protocol</w:t>
      </w:r>
    </w:p>
    <w:bookmarkStart w:id="32" w:name="day-8-fed-condition-high-fat-breakfast"/>
    <w:p>
      <w:pPr>
        <w:pStyle w:val="Heading4"/>
      </w:pPr>
      <w:r>
        <w:t xml:space="preserve">Day 8: Fed Condition (High-Fat Breakfast)</w:t>
      </w:r>
    </w:p>
    <w:p>
      <w:pPr>
        <w:pStyle w:val="FirstParagraph"/>
      </w:pPr>
      <w:r>
        <w:rPr>
          <w:b/>
          <w:bCs/>
        </w:rPr>
        <w:t xml:space="preserve">FDA Standard High-Fat Breakfast:</w:t>
      </w:r>
    </w:p>
    <w:p>
      <w:pPr>
        <w:pStyle w:val="Compact"/>
        <w:numPr>
          <w:ilvl w:val="0"/>
          <w:numId w:val="1018"/>
        </w:numPr>
      </w:pPr>
      <w:r>
        <w:t xml:space="preserve">2 eggs fried in butter</w:t>
      </w:r>
    </w:p>
    <w:p>
      <w:pPr>
        <w:pStyle w:val="Compact"/>
        <w:numPr>
          <w:ilvl w:val="0"/>
          <w:numId w:val="1018"/>
        </w:numPr>
      </w:pPr>
      <w:r>
        <w:t xml:space="preserve">2 strips of bacon</w:t>
      </w:r>
    </w:p>
    <w:p>
      <w:pPr>
        <w:pStyle w:val="Compact"/>
        <w:numPr>
          <w:ilvl w:val="0"/>
          <w:numId w:val="1018"/>
        </w:numPr>
      </w:pPr>
      <w:r>
        <w:t xml:space="preserve">2 slices of toast with butter</w:t>
      </w:r>
    </w:p>
    <w:p>
      <w:pPr>
        <w:pStyle w:val="Compact"/>
        <w:numPr>
          <w:ilvl w:val="0"/>
          <w:numId w:val="1018"/>
        </w:numPr>
      </w:pPr>
      <w:r>
        <w:t xml:space="preserve">4 oz hash browns</w:t>
      </w:r>
    </w:p>
    <w:p>
      <w:pPr>
        <w:pStyle w:val="Compact"/>
        <w:numPr>
          <w:ilvl w:val="0"/>
          <w:numId w:val="1018"/>
        </w:numPr>
      </w:pPr>
      <w:r>
        <w:t xml:space="preserve">8 oz whole milk</w:t>
      </w:r>
    </w:p>
    <w:p>
      <w:pPr>
        <w:pStyle w:val="FirstParagraph"/>
      </w:pPr>
      <w:r>
        <w:rPr>
          <w:i/>
          <w:iCs/>
        </w:rPr>
        <w:t xml:space="preserve">Total: ~800-1000 calories, ~50% from fat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Baseline blood draw (T=0) + vitals</w:t>
            </w:r>
          </w:p>
        </w:tc>
        <w:tc>
          <w:tcPr/>
          <w:p>
            <w:pPr>
              <w:pStyle w:val="Compact"/>
            </w:pPr>
            <w:r>
              <w:t xml:space="preserve">Before 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7:30-8:00 AM</w:t>
            </w:r>
          </w:p>
        </w:tc>
        <w:tc>
          <w:tcPr/>
          <w:p>
            <w:pPr>
              <w:pStyle w:val="Compact"/>
            </w:pPr>
            <w:r>
              <w:t xml:space="preserve">Eat high-fat breakfast</w:t>
            </w:r>
          </w:p>
        </w:tc>
        <w:tc>
          <w:tcPr/>
          <w:p>
            <w:pPr>
              <w:pStyle w:val="Compact"/>
            </w:pPr>
            <w:r>
              <w:t xml:space="preserve">Finish within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Take 1 capsule (8.5 mg) with 240 mL water</w:t>
            </w:r>
          </w:p>
        </w:tc>
        <w:tc>
          <w:tcPr/>
          <w:p>
            <w:pPr>
              <w:pStyle w:val="Compact"/>
            </w:pPr>
            <w:r>
              <w:t xml:space="preserve">30 min after completing 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AM</w:t>
            </w:r>
          </w:p>
        </w:tc>
        <w:tc>
          <w:tcPr/>
          <w:p>
            <w:pPr>
              <w:pStyle w:val="Compact"/>
            </w:pPr>
            <w:r>
              <w:t xml:space="preserve">Blood draw (T=0.5h)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9:30 AM</w:t>
            </w:r>
          </w:p>
        </w:tc>
        <w:tc>
          <w:tcPr/>
          <w:p>
            <w:pPr>
              <w:pStyle w:val="Compact"/>
            </w:pPr>
            <w:r>
              <w:t xml:space="preserve">Blood draw (T=1h)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10:30 AM</w:t>
            </w:r>
          </w:p>
        </w:tc>
        <w:tc>
          <w:tcPr/>
          <w:p>
            <w:pPr>
              <w:pStyle w:val="Compact"/>
            </w:pPr>
            <w:r>
              <w:t xml:space="preserve">Blood draw (T=2h)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11:30 AM</w:t>
            </w:r>
          </w:p>
        </w:tc>
        <w:tc>
          <w:tcPr/>
          <w:p>
            <w:pPr>
              <w:pStyle w:val="Compact"/>
            </w:pPr>
            <w:r>
              <w:t xml:space="preserve">Blood draw (T=3h)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12:30 PM</w:t>
            </w:r>
          </w:p>
        </w:tc>
        <w:tc>
          <w:tcPr/>
          <w:p>
            <w:pPr>
              <w:pStyle w:val="Compact"/>
            </w:pPr>
            <w:r>
              <w:t xml:space="preserve">Blood draw (T=4h)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2:30 PM</w:t>
            </w:r>
          </w:p>
        </w:tc>
        <w:tc>
          <w:tcPr/>
          <w:p>
            <w:pPr>
              <w:pStyle w:val="Compact"/>
            </w:pPr>
            <w:r>
              <w:t xml:space="preserve">Blood draw (T=6h)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4:30 PM</w:t>
            </w:r>
          </w:p>
        </w:tc>
        <w:tc>
          <w:tcPr/>
          <w:p>
            <w:pPr>
              <w:pStyle w:val="Compact"/>
            </w:pPr>
            <w:r>
              <w:t xml:space="preserve">Blood draw (T=8h)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8:30 PM</w:t>
            </w:r>
          </w:p>
        </w:tc>
        <w:tc>
          <w:tcPr/>
          <w:p>
            <w:pPr>
              <w:pStyle w:val="Compact"/>
            </w:pPr>
            <w:r>
              <w:t xml:space="preserve">Blood draw (T=12h) - final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Total blood draws:</w:t>
      </w:r>
      <w:r>
        <w:t xml:space="preserve"> </w:t>
      </w:r>
      <w:r>
        <w:t xml:space="preserve">9 samples (approximately 45 mL total blood)</w:t>
      </w:r>
    </w:p>
    <w:bookmarkEnd w:id="32"/>
    <w:bookmarkEnd w:id="33"/>
    <w:bookmarkStart w:id="35" w:name="b.5-safety-monitoring"/>
    <w:p>
      <w:pPr>
        <w:pStyle w:val="Heading3"/>
      </w:pPr>
      <w:r>
        <w:t xml:space="preserve">4B.5 Safety Monitoring</w:t>
      </w:r>
    </w:p>
    <w:bookmarkStart w:id="34" w:name="safety-stopping-rules"/>
    <w:p>
      <w:pPr>
        <w:pStyle w:val="Heading4"/>
      </w:pPr>
      <w:r>
        <w:t xml:space="preserve">Safety Stopping Rules</w:t>
      </w:r>
    </w:p>
    <w:p>
      <w:pPr>
        <w:pStyle w:val="FirstParagraph"/>
      </w:pPr>
      <w:r>
        <w:rPr>
          <w:b/>
          <w:bCs/>
        </w:rPr>
        <w:t xml:space="preserve">STOP the study and seek medical care if:</w:t>
      </w:r>
    </w:p>
    <w:p>
      <w:pPr>
        <w:pStyle w:val="Compact"/>
        <w:numPr>
          <w:ilvl w:val="0"/>
          <w:numId w:val="1019"/>
        </w:numPr>
      </w:pPr>
      <w:r>
        <w:t xml:space="preserve">Systolic BP drops &gt;30 mmHg from baseline</w:t>
      </w:r>
    </w:p>
    <w:p>
      <w:pPr>
        <w:pStyle w:val="Compact"/>
        <w:numPr>
          <w:ilvl w:val="0"/>
          <w:numId w:val="1019"/>
        </w:numPr>
      </w:pPr>
      <w:r>
        <w:t xml:space="preserve">Systolic BP falls below 90 mmHg</w:t>
      </w:r>
    </w:p>
    <w:p>
      <w:pPr>
        <w:pStyle w:val="Compact"/>
        <w:numPr>
          <w:ilvl w:val="0"/>
          <w:numId w:val="1019"/>
        </w:numPr>
      </w:pPr>
      <w:r>
        <w:t xml:space="preserve">Heart rate exceeds 120 bpm sustained (&gt;5 minutes)</w:t>
      </w:r>
    </w:p>
    <w:p>
      <w:pPr>
        <w:pStyle w:val="Compact"/>
        <w:numPr>
          <w:ilvl w:val="0"/>
          <w:numId w:val="1019"/>
        </w:numPr>
      </w:pPr>
      <w:r>
        <w:t xml:space="preserve">Severe dizziness or lightheadedness</w:t>
      </w:r>
    </w:p>
    <w:p>
      <w:pPr>
        <w:pStyle w:val="Compact"/>
        <w:numPr>
          <w:ilvl w:val="0"/>
          <w:numId w:val="1019"/>
        </w:numPr>
      </w:pPr>
      <w:r>
        <w:t xml:space="preserve">Chest pain, palpitations, or shortness of breath</w:t>
      </w:r>
    </w:p>
    <w:p>
      <w:pPr>
        <w:pStyle w:val="Compact"/>
        <w:numPr>
          <w:ilvl w:val="0"/>
          <w:numId w:val="1019"/>
        </w:numPr>
      </w:pPr>
      <w:r>
        <w:t xml:space="preserve">Any concerning symptoms</w:t>
      </w:r>
    </w:p>
    <w:p>
      <w:pPr>
        <w:pStyle w:val="FirstParagraph"/>
      </w:pPr>
      <w:r>
        <w:rPr>
          <w:b/>
          <w:bCs/>
        </w:rPr>
        <w:t xml:space="preserve">Expected mild effects (not reasons to stop):</w:t>
      </w:r>
    </w:p>
    <w:p>
      <w:pPr>
        <w:pStyle w:val="Compact"/>
        <w:numPr>
          <w:ilvl w:val="0"/>
          <w:numId w:val="1020"/>
        </w:numPr>
      </w:pPr>
      <w:r>
        <w:t xml:space="preserve">Mild decrease in BP (5-15 mmHg) - expected</w:t>
      </w:r>
    </w:p>
    <w:p>
      <w:pPr>
        <w:pStyle w:val="Compact"/>
        <w:numPr>
          <w:ilvl w:val="0"/>
          <w:numId w:val="1020"/>
        </w:numPr>
      </w:pPr>
      <w:r>
        <w:t xml:space="preserve">Slight increase in HR (5-15 bpm) - expected</w:t>
      </w:r>
    </w:p>
    <w:p>
      <w:pPr>
        <w:pStyle w:val="Compact"/>
        <w:numPr>
          <w:ilvl w:val="0"/>
          <w:numId w:val="1020"/>
        </w:numPr>
      </w:pPr>
      <w:r>
        <w:t xml:space="preserve">Mild lightheadedness when standing quickly</w:t>
      </w:r>
    </w:p>
    <w:bookmarkEnd w:id="34"/>
    <w:bookmarkEnd w:id="35"/>
    <w:bookmarkStart w:id="36" w:name="b.6-blood-sample-handling"/>
    <w:p>
      <w:pPr>
        <w:pStyle w:val="Heading3"/>
      </w:pPr>
      <w:r>
        <w:t xml:space="preserve">4B.6 Blood Sample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tubes</w:t>
            </w:r>
          </w:p>
        </w:tc>
        <w:tc>
          <w:tcPr/>
          <w:p>
            <w:pPr>
              <w:pStyle w:val="Compact"/>
            </w:pPr>
            <w:r>
              <w:t xml:space="preserve">K2-EDTA (purple top) - 5 mL per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Centrifugation</w:t>
            </w:r>
          </w:p>
        </w:tc>
        <w:tc>
          <w:tcPr/>
          <w:p>
            <w:pPr>
              <w:pStyle w:val="Compact"/>
            </w:pPr>
            <w:r>
              <w:t xml:space="preserve">Within 30 minutes, 3000 rpm x 10 min, 4°C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separation</w:t>
            </w:r>
          </w:p>
        </w:tc>
        <w:tc>
          <w:tcPr/>
          <w:p>
            <w:pPr>
              <w:pStyle w:val="Compact"/>
            </w:pPr>
            <w:r>
              <w:t xml:space="preserve">Transfer plasma to labeled cryovials (minimum 1 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-20°C (short term) or -80°C (preferred)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Ship on dry ice to bioanalytical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</w:pPr>
            <w:r>
              <w:t xml:space="preserve">Subject ID, Date, Timepoint (e.g., "FASTED-T2H")</w:t>
            </w:r>
          </w:p>
        </w:tc>
      </w:tr>
    </w:tbl>
    <w:bookmarkEnd w:id="36"/>
    <w:bookmarkStart w:id="38" w:name="b.7-success-criteria"/>
    <w:p>
      <w:pPr>
        <w:pStyle w:val="Heading3"/>
      </w:pPr>
      <w:r>
        <w:t xml:space="preserve">4B.7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Target (Fasted)</w:t>
            </w:r>
          </w:p>
        </w:tc>
        <w:tc>
          <w:tcPr/>
          <w:p>
            <w:pPr>
              <w:pStyle w:val="Compact"/>
            </w:pPr>
            <w:r>
              <w:t xml:space="preserve">Acceptable Fed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Cmax</w:t>
            </w:r>
          </w:p>
        </w:tc>
        <w:tc>
          <w:tcPr/>
          <w:p>
            <w:pPr>
              <w:pStyle w:val="Compact"/>
            </w:pPr>
            <w:r>
              <w:t xml:space="preserve">6-10 ng/mL</w:t>
            </w:r>
          </w:p>
        </w:tc>
        <w:tc>
          <w:tcPr/>
          <w:p>
            <w:pPr>
              <w:pStyle w:val="Compact"/>
            </w:pPr>
            <w:r>
              <w:t xml:space="preserve">Fed should not exceed 15 ng/mL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Tmax</w:t>
            </w:r>
          </w:p>
        </w:tc>
        <w:tc>
          <w:tcPr/>
          <w:p>
            <w:pPr>
              <w:pStyle w:val="Compact"/>
            </w:pPr>
            <w:r>
              <w:t xml:space="preserve">2-4 hours</w:t>
            </w:r>
          </w:p>
        </w:tc>
        <w:tc>
          <w:tcPr/>
          <w:p>
            <w:pPr>
              <w:pStyle w:val="Compact"/>
            </w:pPr>
            <w:r>
              <w:t xml:space="preserve">Fed may be 1-3 hours (faster is OK if Cmax controlled)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 ratio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Fed Cmax should be &lt;150% of fasted Cmax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above 1.62 ng/mL</w:t>
            </w:r>
          </w:p>
        </w:tc>
        <w:tc>
          <w:tcPr/>
          <w:p>
            <w:pPr>
              <w:pStyle w:val="Compact"/>
            </w:pPr>
            <w:r>
              <w:t xml:space="preserve">&gt;8 hours</w:t>
            </w:r>
          </w:p>
        </w:tc>
        <w:tc>
          <w:tcPr/>
          <w:p>
            <w:pPr>
              <w:pStyle w:val="Compact"/>
            </w:pPr>
            <w:r>
              <w:t xml:space="preserve">Similar in fed state</w:t>
            </w:r>
          </w:p>
        </w:tc>
      </w:tr>
    </w:tbl>
    <w:bookmarkStart w:id="37" w:name="if-food-effect-is-too-high-150"/>
    <w:p>
      <w:pPr>
        <w:pStyle w:val="Heading4"/>
      </w:pPr>
      <w:r>
        <w:t xml:space="preserve">If Food Effect is Too High (&gt;150%)</w:t>
      </w:r>
    </w:p>
    <w:p>
      <w:pPr>
        <w:pStyle w:val="FirstParagraph"/>
      </w:pPr>
      <w:r>
        <w:t xml:space="preserve">If fed Cmax is &gt;150% of fasted Cmax, the lipid matrix may be releasing too fast with food. Consider reformulating:</w:t>
      </w:r>
    </w:p>
    <w:p>
      <w:pPr>
        <w:pStyle w:val="Compact"/>
        <w:numPr>
          <w:ilvl w:val="0"/>
          <w:numId w:val="1021"/>
        </w:numPr>
      </w:pPr>
      <w:r>
        <w:t xml:space="preserve">Increase Compritol 888 ATO percentage</w:t>
      </w:r>
    </w:p>
    <w:p>
      <w:pPr>
        <w:pStyle w:val="Compact"/>
        <w:numPr>
          <w:ilvl w:val="0"/>
          <w:numId w:val="1021"/>
        </w:numPr>
      </w:pPr>
      <w:r>
        <w:t xml:space="preserve">Decrease PEG 6000 (pore former)</w:t>
      </w:r>
    </w:p>
    <w:p>
      <w:pPr>
        <w:pStyle w:val="Compact"/>
        <w:numPr>
          <w:ilvl w:val="0"/>
          <w:numId w:val="1021"/>
        </w:numPr>
      </w:pPr>
      <w:r>
        <w:t xml:space="preserve">Add calcium stearate or carnauba wax as release retardant</w:t>
      </w:r>
    </w:p>
    <w:bookmarkEnd w:id="37"/>
    <w:p>
      <w:r>
        <w:pict>
          <v:rect style="width:0;height:1.5pt" o:hralign="center" o:hrstd="t" o:hr="t"/>
        </w:pict>
      </w:r>
    </w:p>
    <w:bookmarkEnd w:id="38"/>
    <w:bookmarkEnd w:id="39"/>
    <w:bookmarkStart w:id="52" w:name="specific-test-specifications"/>
    <w:p>
      <w:pPr>
        <w:pStyle w:val="Heading2"/>
      </w:pPr>
      <w:r>
        <w:t xml:space="preserve">Specific Test Specifications</w:t>
      </w:r>
    </w:p>
    <w:bookmarkStart w:id="45" w:name="dissolution-testing-specifications"/>
    <w:p>
      <w:pPr>
        <w:pStyle w:val="Heading3"/>
      </w:pPr>
      <w:r>
        <w:t xml:space="preserve">Dissolution Testing Specifications</w:t>
      </w:r>
    </w:p>
    <w:bookmarkStart w:id="40" w:name="test-to-order-usp-dissolution-test"/>
    <w:p>
      <w:pPr>
        <w:pStyle w:val="Heading4"/>
      </w:pPr>
      <w:r>
        <w:t xml:space="preserve">Test to Order: USP Dissolution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Name</w:t>
            </w:r>
          </w:p>
        </w:tc>
        <w:tc>
          <w:tcPr/>
          <w:p>
            <w:pPr>
              <w:pStyle w:val="Compact"/>
            </w:pPr>
            <w:r>
              <w:t xml:space="preserve">USP &lt;711&gt; Dissolution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Apparatus</w:t>
            </w:r>
          </w:p>
        </w:tc>
        <w:tc>
          <w:tcPr/>
          <w:p>
            <w:pPr>
              <w:pStyle w:val="Compact"/>
            </w:pPr>
            <w:r>
              <w:t xml:space="preserve">USP Apparatus 2 (Paddle)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Paddle speed</w:t>
            </w:r>
          </w:p>
        </w:tc>
        <w:tc>
          <w:tcPr/>
          <w:p>
            <w:pPr>
              <w:pStyle w:val="Compact"/>
            </w:pPr>
            <w:r>
              <w:t xml:space="preserve">50 rpm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37.0 ± 0.5°C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900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Replicates</w:t>
            </w:r>
          </w:p>
        </w:tc>
        <w:tc>
          <w:tcPr/>
          <w:p>
            <w:pPr>
              <w:pStyle w:val="Compact"/>
            </w:pPr>
            <w:r>
              <w:t xml:space="preserve">6 units per batch (n=6)</w:t>
            </w:r>
          </w:p>
        </w:tc>
      </w:tr>
    </w:tbl>
    <w:bookmarkEnd w:id="40"/>
    <w:bookmarkStart w:id="41" w:name="fasted-state-dissolution-primary-test"/>
    <w:p>
      <w:pPr>
        <w:pStyle w:val="Heading4"/>
      </w:pPr>
      <w:r>
        <w:t xml:space="preserve">Fasted State Dissolution (Primary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0.1N HCl (pH 1.2) for first 2 hours, then phosphate buffer pH 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 (simpler)</w:t>
            </w:r>
          </w:p>
        </w:tc>
        <w:tc>
          <w:tcPr/>
          <w:p>
            <w:pPr>
              <w:pStyle w:val="Compact"/>
            </w:pPr>
            <w:r>
              <w:t xml:space="preserve">Phosphate buffer pH 6.8 throughout (if pH-independent release confirmed)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1, 2, 4, 6, 8, 12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UV spectrophotometry at 281 nm or HPLC</w:t>
            </w:r>
          </w:p>
        </w:tc>
      </w:tr>
    </w:tbl>
    <w:bookmarkEnd w:id="41"/>
    <w:bookmarkStart w:id="42" w:name="target-dissolution-profile"/>
    <w:p>
      <w:pPr>
        <w:pStyle w:val="Heading4"/>
      </w:pPr>
      <w:r>
        <w:t xml:space="preserve">Target Dissolution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Target Release (%)</w:t>
            </w:r>
          </w:p>
        </w:tc>
        <w:tc>
          <w:tcPr/>
          <w:p>
            <w:pPr>
              <w:pStyle w:val="Compact"/>
            </w:pPr>
            <w:r>
              <w:t xml:space="preserve">Acceptable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10-25%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35-55%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t xml:space="preserve">65-75%</w:t>
            </w:r>
          </w:p>
        </w:tc>
        <w:tc>
          <w:tcPr/>
          <w:p>
            <w:pPr>
              <w:pStyle w:val="Compact"/>
            </w:pPr>
            <w:r>
              <w:t xml:space="preserve">60-80%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&gt;80%</w:t>
            </w:r>
          </w:p>
        </w:tc>
        <w:tc>
          <w:tcPr/>
          <w:p>
            <w:pPr>
              <w:pStyle w:val="Compact"/>
            </w:pPr>
            <w:r>
              <w:t xml:space="preserve">&gt;75%</w:t>
            </w:r>
          </w:p>
        </w:tc>
      </w:tr>
    </w:tbl>
    <w:bookmarkEnd w:id="42"/>
    <w:bookmarkStart w:id="43" w:name="fed-state-dissolution-food-effect-test"/>
    <w:p>
      <w:pPr>
        <w:pStyle w:val="Heading4"/>
      </w:pPr>
      <w:r>
        <w:t xml:space="preserve">Fed State Dissolution (Food Effect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1</w:t>
            </w:r>
          </w:p>
        </w:tc>
        <w:tc>
          <w:tcPr/>
          <w:p>
            <w:pPr>
              <w:pStyle w:val="Compact"/>
            </w:pPr>
            <w:r>
              <w:t xml:space="preserve">FeSSIF (Fed State Simulated Intestinal Fluid) - contains bile salts and lecithin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2 (cheaper)</w:t>
            </w:r>
          </w:p>
        </w:tc>
        <w:tc>
          <w:tcPr/>
          <w:p>
            <w:pPr>
              <w:pStyle w:val="Compact"/>
            </w:pPr>
            <w:r>
              <w:t xml:space="preserve">Phosphate buffer pH 6.8 + 0.5% SLS (sodium lauryl sulfate)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3 (simplest)</w:t>
            </w:r>
          </w:p>
        </w:tc>
        <w:tc>
          <w:tcPr/>
          <w:p>
            <w:pPr>
              <w:pStyle w:val="Compact"/>
            </w:pPr>
            <w:r>
              <w:t xml:space="preserve">Whole milk (3.25% fat) - surprisingly predictive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1, 2, 4, 6, 8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4-hour release should be &lt;1.5x fasted state 4-hour release</w:t>
            </w:r>
          </w:p>
        </w:tc>
      </w:tr>
    </w:tbl>
    <w:bookmarkEnd w:id="43"/>
    <w:bookmarkStart w:id="44" w:name="what-to-tell-the-lab"/>
    <w:p>
      <w:pPr>
        <w:pStyle w:val="Heading4"/>
      </w:pPr>
      <w:r>
        <w:t xml:space="preserve">What to Tell the Lab</w:t>
      </w:r>
    </w:p>
    <w:p>
      <w:pPr>
        <w:pStyle w:val="FirstParagraph"/>
      </w:pPr>
      <w:r>
        <w:rPr>
          <w:b/>
          <w:bCs/>
        </w:rPr>
        <w:t xml:space="preserve">When ordering dissolution testing, specify:</w:t>
      </w:r>
    </w:p>
    <w:p>
      <w:pPr>
        <w:pStyle w:val="Compact"/>
        <w:numPr>
          <w:ilvl w:val="0"/>
          <w:numId w:val="1022"/>
        </w:numPr>
      </w:pPr>
      <w:r>
        <w:t xml:space="preserve">"USP Apparatus 2 (paddle), 50 rpm, 900 mL, 37°C"</w:t>
      </w:r>
    </w:p>
    <w:p>
      <w:pPr>
        <w:pStyle w:val="Compact"/>
        <w:numPr>
          <w:ilvl w:val="0"/>
          <w:numId w:val="1022"/>
        </w:numPr>
      </w:pPr>
      <w:r>
        <w:t xml:space="preserve">"Medium: Phosphate buffer pH 6.8" (or specify 0.1N HCl → pH 6.8 switch)</w:t>
      </w:r>
    </w:p>
    <w:p>
      <w:pPr>
        <w:pStyle w:val="Compact"/>
        <w:numPr>
          <w:ilvl w:val="0"/>
          <w:numId w:val="1022"/>
        </w:numPr>
      </w:pPr>
      <w:r>
        <w:t xml:space="preserve">"Timepoints: 1, 2, 4, 6, 8, 12 hours"</w:t>
      </w:r>
    </w:p>
    <w:p>
      <w:pPr>
        <w:pStyle w:val="Compact"/>
        <w:numPr>
          <w:ilvl w:val="0"/>
          <w:numId w:val="1022"/>
        </w:numPr>
      </w:pPr>
      <w:r>
        <w:t xml:space="preserve">"Detection: UV at 281 nm" (or HPLC if they prefer)</w:t>
      </w:r>
    </w:p>
    <w:p>
      <w:pPr>
        <w:pStyle w:val="Compact"/>
        <w:numPr>
          <w:ilvl w:val="0"/>
          <w:numId w:val="1022"/>
        </w:numPr>
      </w:pPr>
      <w:r>
        <w:t xml:space="preserve">"n=6 units per batch"</w:t>
      </w:r>
    </w:p>
    <w:p>
      <w:pPr>
        <w:pStyle w:val="Compact"/>
        <w:numPr>
          <w:ilvl w:val="0"/>
          <w:numId w:val="1022"/>
        </w:numPr>
      </w:pPr>
      <w:r>
        <w:t xml:space="preserve">"Report % dissolved at each timepoint with mean and SD"</w:t>
      </w:r>
    </w:p>
    <w:p>
      <w:pPr>
        <w:pStyle w:val="FirstParagraph"/>
      </w:pPr>
      <w:r>
        <w:rPr>
          <w:b/>
          <w:bCs/>
        </w:rPr>
        <w:t xml:space="preserve">Estimated cost:</w:t>
      </w:r>
      <w:r>
        <w:t xml:space="preserve"> </w:t>
      </w:r>
      <w:r>
        <w:t xml:space="preserve">$200-500 per dissolution profile (6 units, 6 timepoints)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fe8a67aa726ed7c6b0970238114a7ba1a42e81e"/>
    <w:p>
      <w:pPr>
        <w:pStyle w:val="Heading3"/>
      </w:pPr>
      <w:r>
        <w:t xml:space="preserve">Bioanalytical Testing Specifications (Human PK)</w:t>
      </w:r>
    </w:p>
    <w:bookmarkStart w:id="46" w:name="test-to-order-plasma-minoxidil-assay"/>
    <w:p>
      <w:pPr>
        <w:pStyle w:val="Heading4"/>
      </w:pPr>
      <w:r>
        <w:t xml:space="preserve">Test to Order: Plasma Minoxidil Assay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Name</w:t>
            </w:r>
          </w:p>
        </w:tc>
        <w:tc>
          <w:tcPr/>
          <w:p>
            <w:pPr>
              <w:pStyle w:val="Compact"/>
            </w:pPr>
            <w:r>
              <w:t xml:space="preserve">Minoxidil plasma concentration by LC-MS/MS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Liquid chromatography-tandem mass spectrometry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matrix</w:t>
            </w:r>
          </w:p>
        </w:tc>
        <w:tc>
          <w:tcPr/>
          <w:p>
            <w:pPr>
              <w:pStyle w:val="Compact"/>
            </w:pPr>
            <w:r>
              <w:t xml:space="preserve">Human plasma (K2-EDTA)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LLOQ (Lower limit of quantification)</w:t>
            </w:r>
          </w:p>
        </w:tc>
        <w:tc>
          <w:tcPr/>
          <w:p>
            <w:pPr>
              <w:pStyle w:val="Compact"/>
            </w:pPr>
            <w:r>
              <w:t xml:space="preserve">≤0.5 ng/mL (ideally ≤0.1 ng/mL)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 range</w:t>
            </w:r>
          </w:p>
        </w:tc>
        <w:tc>
          <w:tcPr/>
          <w:p>
            <w:pPr>
              <w:pStyle w:val="Compact"/>
            </w:pPr>
            <w:r>
              <w:t xml:space="preserve">0.5 - 50 ng/mL (or 0.1 - 50 ng/mL)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volume required</w:t>
            </w:r>
          </w:p>
        </w:tc>
        <w:tc>
          <w:tcPr/>
          <w:p>
            <w:pPr>
              <w:pStyle w:val="Compact"/>
            </w:pPr>
            <w:r>
              <w:t xml:space="preserve">200-500 µL plasma per sample</w:t>
            </w:r>
          </w:p>
        </w:tc>
      </w:tr>
    </w:tbl>
    <w:bookmarkEnd w:id="46"/>
    <w:bookmarkStart w:id="47" w:name="samples-to-submit"/>
    <w:p>
      <w:pPr>
        <w:pStyle w:val="Heading4"/>
      </w:pPr>
      <w:r>
        <w:t xml:space="preserve">Samples to Submit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Number of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Fasted PK</w:t>
            </w:r>
          </w:p>
        </w:tc>
        <w:tc>
          <w:tcPr/>
          <w:p>
            <w:pPr>
              <w:pStyle w:val="Compact"/>
            </w:pPr>
            <w:r>
              <w:t xml:space="preserve">0, 0.5, 1, 2, 3, 4, 6, 8, 12 hours</w:t>
            </w:r>
          </w:p>
        </w:tc>
        <w:tc>
          <w:tcPr/>
          <w:p>
            <w:pPr>
              <w:pStyle w:val="Compact"/>
            </w:pPr>
            <w:r>
              <w:t xml:space="preserve">9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 PK</w:t>
            </w:r>
          </w:p>
        </w:tc>
        <w:tc>
          <w:tcPr/>
          <w:p>
            <w:pPr>
              <w:pStyle w:val="Compact"/>
            </w:pPr>
            <w:r>
              <w:t xml:space="preserve">0, 0.5, 1, 2, 3, 4, 6, 8, 12 hours</w:t>
            </w:r>
          </w:p>
        </w:tc>
        <w:tc>
          <w:tcPr/>
          <w:p>
            <w:pPr>
              <w:pStyle w:val="Compact"/>
            </w:pPr>
            <w:r>
              <w:t xml:space="preserve">9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samples</w:t>
            </w:r>
          </w:p>
        </w:tc>
      </w:tr>
    </w:tbl>
    <w:bookmarkEnd w:id="47"/>
    <w:bookmarkStart w:id="48" w:name="what-to-tell-the-bioanalytical-lab"/>
    <w:p>
      <w:pPr>
        <w:pStyle w:val="Heading4"/>
      </w:pPr>
      <w:r>
        <w:t xml:space="preserve">What to Tell the Bioanalytical Lab</w:t>
      </w:r>
    </w:p>
    <w:p>
      <w:pPr>
        <w:pStyle w:val="FirstParagraph"/>
      </w:pPr>
      <w:r>
        <w:rPr>
          <w:b/>
          <w:bCs/>
        </w:rPr>
        <w:t xml:space="preserve">When ordering plasma minoxidil assay, specify:</w:t>
      </w:r>
    </w:p>
    <w:p>
      <w:pPr>
        <w:pStyle w:val="Compact"/>
        <w:numPr>
          <w:ilvl w:val="0"/>
          <w:numId w:val="1023"/>
        </w:numPr>
      </w:pPr>
      <w:r>
        <w:t xml:space="preserve">"Minoxidil quantification by LC-MS/MS"</w:t>
      </w:r>
    </w:p>
    <w:p>
      <w:pPr>
        <w:pStyle w:val="Compact"/>
        <w:numPr>
          <w:ilvl w:val="0"/>
          <w:numId w:val="1023"/>
        </w:numPr>
      </w:pPr>
      <w:r>
        <w:t xml:space="preserve">"Matrix: Human plasma, K2-EDTA"</w:t>
      </w:r>
    </w:p>
    <w:p>
      <w:pPr>
        <w:pStyle w:val="Compact"/>
        <w:numPr>
          <w:ilvl w:val="0"/>
          <w:numId w:val="1023"/>
        </w:numPr>
      </w:pPr>
      <w:r>
        <w:t xml:space="preserve">"LLOQ required: ≤0.5 ng/mL"</w:t>
      </w:r>
    </w:p>
    <w:p>
      <w:pPr>
        <w:pStyle w:val="Compact"/>
        <w:numPr>
          <w:ilvl w:val="0"/>
          <w:numId w:val="1023"/>
        </w:numPr>
      </w:pPr>
      <w:r>
        <w:t xml:space="preserve">"Calibration range: 0.5-50 ng/mL"</w:t>
      </w:r>
    </w:p>
    <w:p>
      <w:pPr>
        <w:pStyle w:val="Compact"/>
        <w:numPr>
          <w:ilvl w:val="0"/>
          <w:numId w:val="1023"/>
        </w:numPr>
      </w:pPr>
      <w:r>
        <w:t xml:space="preserve">"Total samples: 18"</w:t>
      </w:r>
    </w:p>
    <w:p>
      <w:pPr>
        <w:pStyle w:val="Compact"/>
        <w:numPr>
          <w:ilvl w:val="0"/>
          <w:numId w:val="1023"/>
        </w:numPr>
      </w:pPr>
      <w:r>
        <w:t xml:space="preserve">"Report individual concentrations in ng/mL"</w:t>
      </w:r>
    </w:p>
    <w:p>
      <w:pPr>
        <w:pStyle w:val="Compact"/>
        <w:numPr>
          <w:ilvl w:val="0"/>
          <w:numId w:val="1023"/>
        </w:numPr>
      </w:pPr>
      <w:r>
        <w:t xml:space="preserve">"Include QC sample results"</w:t>
      </w:r>
    </w:p>
    <w:p>
      <w:pPr>
        <w:pStyle w:val="FirstParagraph"/>
      </w:pPr>
      <w:r>
        <w:rPr>
          <w:b/>
          <w:bCs/>
        </w:rPr>
        <w:t xml:space="preserve">Estimated cost:</w:t>
      </w:r>
      <w:r>
        <w:t xml:space="preserve"> </w:t>
      </w:r>
      <w:r>
        <w:t xml:space="preserve">$75-150 per sample = $1,350-2,700 for 18 samples</w:t>
      </w:r>
    </w:p>
    <w:bookmarkEnd w:id="48"/>
    <w:bookmarkStart w:id="49" w:name="bioanalytical-lab-options"/>
    <w:p>
      <w:pPr>
        <w:pStyle w:val="Heading4"/>
      </w:pPr>
      <w:r>
        <w:t xml:space="preserve">Bioanalytical Lab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Est. Cost/Sample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$100-150</w:t>
            </w:r>
          </w:p>
        </w:tc>
        <w:tc>
          <w:tcPr/>
          <w:p>
            <w:pPr>
              <w:pStyle w:val="Compact"/>
            </w:pPr>
            <w:r>
              <w:t xml:space="preserve">High quality; may have minoxidil method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QPS Holdings</w:t>
            </w:r>
          </w:p>
        </w:tc>
        <w:tc>
          <w:tcPr/>
          <w:p>
            <w:pPr>
              <w:pStyle w:val="Compact"/>
            </w:pPr>
            <w:r>
              <w:t xml:space="preserve">Newark, DE</w:t>
            </w:r>
          </w:p>
        </w:tc>
        <w:tc>
          <w:tcPr/>
          <w:p>
            <w:pPr>
              <w:pStyle w:val="Compact"/>
            </w:pPr>
            <w:r>
              <w:t xml:space="preserve">$75-125</w:t>
            </w:r>
          </w:p>
        </w:tc>
        <w:tc>
          <w:tcPr/>
          <w:p>
            <w:pPr>
              <w:pStyle w:val="Compact"/>
            </w:pPr>
            <w:r>
              <w:t xml:space="preserve">Good for small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Frontage Laboratories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$60-100</w:t>
            </w:r>
          </w:p>
        </w:tc>
        <w:tc>
          <w:tcPr/>
          <w:p>
            <w:pPr>
              <w:pStyle w:val="Compact"/>
            </w:pPr>
            <w:r>
              <w:t xml:space="preserve">Often competitive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Bioanalytical Labs</w:t>
            </w:r>
          </w:p>
        </w:tc>
        <w:tc>
          <w:tcPr/>
          <w:p>
            <w:pPr>
              <w:pStyle w:val="Compact"/>
            </w:pPr>
            <w:r>
              <w:t xml:space="preserve">Whitesboro, NY</w:t>
            </w:r>
          </w:p>
        </w:tc>
        <w:tc>
          <w:tcPr/>
          <w:p>
            <w:pPr>
              <w:pStyle w:val="Compact"/>
            </w:pPr>
            <w:r>
              <w:t xml:space="preserve">$80-120</w:t>
            </w:r>
          </w:p>
        </w:tc>
        <w:tc>
          <w:tcPr/>
          <w:p>
            <w:pPr>
              <w:pStyle w:val="Compact"/>
            </w:pPr>
            <w:r>
              <w:t xml:space="preserve">Large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research labs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$50-80</w:t>
            </w:r>
          </w:p>
        </w:tc>
        <w:tc>
          <w:tcPr/>
          <w:p>
            <w:pPr>
              <w:pStyle w:val="Compact"/>
            </w:pPr>
            <w:r>
              <w:t xml:space="preserve">Cheapest but may need method development</w:t>
            </w:r>
          </w:p>
        </w:tc>
      </w:tr>
    </w:tbl>
    <w:bookmarkEnd w:id="49"/>
    <w:bookmarkStart w:id="50" w:name="pk-parameters-to-calculate"/>
    <w:p>
      <w:pPr>
        <w:pStyle w:val="Heading4"/>
      </w:pPr>
      <w:r>
        <w:t xml:space="preserve">PK Parameters to Calculate</w:t>
      </w:r>
    </w:p>
    <w:p>
      <w:pPr>
        <w:pStyle w:val="FirstParagraph"/>
      </w:pPr>
      <w:r>
        <w:t xml:space="preserve">Ask the lab to calculate (or calculate yourself using Phoenix WinNonlin, PKSolver, or Excel):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Cmax</w:t>
            </w:r>
          </w:p>
        </w:tc>
        <w:tc>
          <w:tcPr/>
          <w:p>
            <w:pPr>
              <w:pStyle w:val="Compact"/>
            </w:pPr>
            <w:r>
              <w:t xml:space="preserve">Maximum observed concentration</w:t>
            </w:r>
          </w:p>
        </w:tc>
        <w:tc>
          <w:tcPr/>
          <w:p>
            <w:pPr>
              <w:pStyle w:val="Compact"/>
            </w:pPr>
            <w:r>
              <w:t xml:space="preserve">6-10 ng/mL (fasted)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Tmax</w:t>
            </w:r>
          </w:p>
        </w:tc>
        <w:tc>
          <w:tcPr/>
          <w:p>
            <w:pPr>
              <w:pStyle w:val="Compact"/>
            </w:pPr>
            <w:r>
              <w:t xml:space="preserve">Time to reach Cmax</w:t>
            </w:r>
          </w:p>
        </w:tc>
        <w:tc>
          <w:tcPr/>
          <w:p>
            <w:pPr>
              <w:pStyle w:val="Compact"/>
            </w:pPr>
            <w:r>
              <w:t xml:space="preserve">2-4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AUC0-12</w:t>
            </w:r>
          </w:p>
        </w:tc>
        <w:tc>
          <w:tcPr/>
          <w:p>
            <w:pPr>
              <w:pStyle w:val="Compact"/>
            </w:pPr>
            <w:r>
              <w:t xml:space="preserve">Area under curve, 0-12 hours</w:t>
            </w:r>
          </w:p>
        </w:tc>
        <w:tc>
          <w:tcPr/>
          <w:p>
            <w:pPr>
              <w:pStyle w:val="Compact"/>
            </w:pPr>
            <w:r>
              <w:t xml:space="preserve">Record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AUC0-∞</w:t>
            </w:r>
          </w:p>
        </w:tc>
        <w:tc>
          <w:tcPr/>
          <w:p>
            <w:pPr>
              <w:pStyle w:val="Compact"/>
            </w:pPr>
            <w:r>
              <w:t xml:space="preserve">Area under curve, extrapolated to infinity</w:t>
            </w:r>
          </w:p>
        </w:tc>
        <w:tc>
          <w:tcPr/>
          <w:p>
            <w:pPr>
              <w:pStyle w:val="Compact"/>
            </w:pPr>
            <w:r>
              <w:t xml:space="preserve">Record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t½</w:t>
            </w:r>
          </w:p>
        </w:tc>
        <w:tc>
          <w:tcPr/>
          <w:p>
            <w:pPr>
              <w:pStyle w:val="Compact"/>
            </w:pPr>
            <w:r>
              <w:t xml:space="preserve">Elimination half-life</w:t>
            </w:r>
          </w:p>
        </w:tc>
        <w:tc>
          <w:tcPr/>
          <w:p>
            <w:pPr>
              <w:pStyle w:val="Compact"/>
            </w:pPr>
            <w:r>
              <w:t xml:space="preserve">~4 hours (known for minoxidil)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 ratio</w:t>
            </w:r>
          </w:p>
        </w:tc>
        <w:tc>
          <w:tcPr/>
          <w:p>
            <w:pPr>
              <w:pStyle w:val="Compact"/>
            </w:pPr>
            <w:r>
              <w:t xml:space="preserve">Fed Cmax / Fasted Cmax</w:t>
            </w:r>
          </w:p>
        </w:tc>
        <w:tc>
          <w:tcPr/>
          <w:p>
            <w:pPr>
              <w:pStyle w:val="Compact"/>
            </w:pPr>
            <w:r>
              <w:t xml:space="preserve">&lt;1.5 (i.e., &lt;50% increase)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6" w:name="phase-5-compounding-setup"/>
    <w:p>
      <w:pPr>
        <w:pStyle w:val="Heading2"/>
      </w:pPr>
      <w:r>
        <w:t xml:space="preserve">Phase 5: Compounding Setup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$1,000-3,000</w:t>
      </w:r>
    </w:p>
    <w:bookmarkStart w:id="53" w:name="pharmacy-selection"/>
    <w:p>
      <w:pPr>
        <w:pStyle w:val="Heading3"/>
      </w:pPr>
      <w:r>
        <w:t xml:space="preserve">5.1 Pharmacy Selection</w:t>
      </w:r>
    </w:p>
    <w:p>
      <w:pPr>
        <w:pStyle w:val="Compact"/>
        <w:numPr>
          <w:ilvl w:val="0"/>
          <w:numId w:val="1024"/>
        </w:numPr>
      </w:pPr>
      <w:r>
        <w:t xml:space="preserve">Identify 2-3 candidate compounding pharmacies</w:t>
      </w:r>
    </w:p>
    <w:p>
      <w:pPr>
        <w:pStyle w:val="Compact"/>
        <w:numPr>
          <w:ilvl w:val="0"/>
          <w:numId w:val="1024"/>
        </w:numPr>
      </w:pPr>
      <w:r>
        <w:t xml:space="preserve">Confirm lipid matrix / melt granulation capability</w:t>
      </w:r>
    </w:p>
    <w:p>
      <w:pPr>
        <w:pStyle w:val="Compact"/>
        <w:numPr>
          <w:ilvl w:val="0"/>
          <w:numId w:val="1024"/>
        </w:numPr>
      </w:pPr>
      <w:r>
        <w:t xml:space="preserve">Confirm 503A or 503B registration</w:t>
      </w:r>
    </w:p>
    <w:p>
      <w:pPr>
        <w:pStyle w:val="Compact"/>
        <w:numPr>
          <w:ilvl w:val="0"/>
          <w:numId w:val="1024"/>
        </w:numPr>
      </w:pPr>
      <w:r>
        <w:t xml:space="preserve">Request references / quality certifications</w:t>
      </w:r>
    </w:p>
    <w:p>
      <w:pPr>
        <w:pStyle w:val="Compact"/>
        <w:numPr>
          <w:ilvl w:val="0"/>
          <w:numId w:val="1024"/>
        </w:numPr>
      </w:pPr>
      <w:r>
        <w:t xml:space="preserve">Select pharmacy partner</w:t>
      </w:r>
    </w:p>
    <w:bookmarkEnd w:id="53"/>
    <w:bookmarkStart w:id="54" w:name="technology-transfer"/>
    <w:p>
      <w:pPr>
        <w:pStyle w:val="Heading3"/>
      </w:pPr>
      <w:r>
        <w:t xml:space="preserve">5.2 Technology Transfer</w:t>
      </w:r>
    </w:p>
    <w:p>
      <w:pPr>
        <w:pStyle w:val="Compact"/>
        <w:numPr>
          <w:ilvl w:val="0"/>
          <w:numId w:val="1025"/>
        </w:numPr>
      </w:pPr>
      <w:r>
        <w:t xml:space="preserve">Provide formulation protocol to pharmacy</w:t>
      </w:r>
    </w:p>
    <w:p>
      <w:pPr>
        <w:pStyle w:val="Compact"/>
        <w:numPr>
          <w:ilvl w:val="0"/>
          <w:numId w:val="1025"/>
        </w:numPr>
      </w:pPr>
      <w:r>
        <w:t xml:space="preserve">Review process with their pharmacist</w:t>
      </w:r>
    </w:p>
    <w:p>
      <w:pPr>
        <w:pStyle w:val="Compact"/>
        <w:numPr>
          <w:ilvl w:val="0"/>
          <w:numId w:val="1025"/>
        </w:numPr>
      </w:pPr>
      <w:r>
        <w:t xml:space="preserve">Pharmacy makes qualification batch</w:t>
      </w:r>
    </w:p>
    <w:p>
      <w:pPr>
        <w:pStyle w:val="Compact"/>
        <w:numPr>
          <w:ilvl w:val="0"/>
          <w:numId w:val="1025"/>
        </w:numPr>
      </w:pPr>
      <w:r>
        <w:t xml:space="preserve">Run dissolution on pharmacy's batch</w:t>
      </w:r>
    </w:p>
    <w:p>
      <w:pPr>
        <w:pStyle w:val="Compact"/>
        <w:numPr>
          <w:ilvl w:val="0"/>
          <w:numId w:val="1025"/>
        </w:numPr>
      </w:pPr>
      <w:r>
        <w:t xml:space="preserve">Confirm results match your development batches</w:t>
      </w:r>
    </w:p>
    <w:bookmarkEnd w:id="54"/>
    <w:bookmarkStart w:id="55" w:name="prescriber-setup"/>
    <w:p>
      <w:pPr>
        <w:pStyle w:val="Heading3"/>
      </w:pPr>
      <w:r>
        <w:t xml:space="preserve">5.3 Prescriber Setup</w:t>
      </w:r>
    </w:p>
    <w:p>
      <w:pPr>
        <w:pStyle w:val="Compact"/>
        <w:numPr>
          <w:ilvl w:val="0"/>
          <w:numId w:val="1026"/>
        </w:numPr>
      </w:pPr>
      <w:r>
        <w:t xml:space="preserve">Identify 1-3 dermatologists willing to prescribe off-label</w:t>
      </w:r>
    </w:p>
    <w:p>
      <w:pPr>
        <w:pStyle w:val="Compact"/>
        <w:numPr>
          <w:ilvl w:val="0"/>
          <w:numId w:val="1026"/>
        </w:numPr>
      </w:pPr>
      <w:r>
        <w:t xml:space="preserve">Provide them with: formulation info, dosing rationale, safety data</w:t>
      </w:r>
    </w:p>
    <w:p>
      <w:pPr>
        <w:pStyle w:val="Compact"/>
        <w:numPr>
          <w:ilvl w:val="0"/>
          <w:numId w:val="1026"/>
        </w:numPr>
      </w:pPr>
      <w:r>
        <w:t xml:space="preserve">Establish prescription workflow with pharmacy</w:t>
      </w:r>
    </w:p>
    <w:p>
      <w:pPr>
        <w:pStyle w:val="Compact"/>
        <w:numPr>
          <w:ilvl w:val="0"/>
          <w:numId w:val="1026"/>
        </w:numPr>
      </w:pPr>
      <w:r>
        <w:t xml:space="preserve">Create patient consent/information document</w:t>
      </w:r>
    </w:p>
    <w:p>
      <w:pPr>
        <w:pStyle w:val="FirstParagraph"/>
      </w:pPr>
      <w:r>
        <w:rPr>
          <w:b/>
          <w:bCs/>
        </w:rPr>
        <w:t xml:space="preserve">Phase 5 Exit Criteria:</w:t>
      </w:r>
    </w:p>
    <w:p>
      <w:pPr>
        <w:pStyle w:val="Compact"/>
        <w:numPr>
          <w:ilvl w:val="0"/>
          <w:numId w:val="1027"/>
        </w:numPr>
      </w:pPr>
      <w:r>
        <w:t xml:space="preserve">Pharmacy can successfully compound the formulation</w:t>
      </w:r>
    </w:p>
    <w:p>
      <w:pPr>
        <w:pStyle w:val="Compact"/>
        <w:numPr>
          <w:ilvl w:val="0"/>
          <w:numId w:val="1027"/>
        </w:numPr>
      </w:pPr>
      <w:r>
        <w:t xml:space="preserve">Pharmacy's batch matches your dissolution profile</w:t>
      </w:r>
    </w:p>
    <w:p>
      <w:pPr>
        <w:pStyle w:val="Compact"/>
        <w:numPr>
          <w:ilvl w:val="0"/>
          <w:numId w:val="1027"/>
        </w:numPr>
      </w:pPr>
      <w:r>
        <w:t xml:space="preserve">At least one prescribing physician ready</w:t>
      </w:r>
    </w:p>
    <w:p>
      <w:pPr>
        <w:pStyle w:val="Compact"/>
        <w:numPr>
          <w:ilvl w:val="0"/>
          <w:numId w:val="1027"/>
        </w:numPr>
      </w:pPr>
      <w:r>
        <w:t xml:space="preserve">Patient information materials ready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6" w:name="dissolution-testing-providers"/>
    <w:p>
      <w:pPr>
        <w:pStyle w:val="Heading2"/>
      </w:pPr>
      <w:r>
        <w:t xml:space="preserve">Dissolution Testing Providers</w:t>
      </w:r>
    </w:p>
    <w:bookmarkStart w:id="60" w:name="budget-options-fast-cheap"/>
    <w:p>
      <w:pPr>
        <w:pStyle w:val="Heading3"/>
      </w:pPr>
      <w:r>
        <w:t xml:space="preserve">Budget Options (Fast &amp; Cheap)</w:t>
      </w:r>
    </w:p>
    <w:bookmarkStart w:id="57" w:name="university-pharmaceutical-sciences-labs"/>
    <w:p>
      <w:pPr>
        <w:pStyle w:val="Heading4"/>
      </w:pPr>
      <w:r>
        <w:t xml:space="preserve">1. University Pharmaceutical Sciences Labs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$50-150 per dissolution run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Cheapest option; may provide consulting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Slower; may have scheduling constraints</w:t>
      </w:r>
    </w:p>
    <w:p>
      <w:pPr>
        <w:pStyle w:val="BodyText"/>
      </w:pPr>
      <w:r>
        <w:rPr>
          <w:b/>
          <w:bCs/>
        </w:rPr>
        <w:t xml:space="preserve">How to find:</w:t>
      </w:r>
      <w:r>
        <w:t xml:space="preserve"> </w:t>
      </w:r>
      <w:r>
        <w:t xml:space="preserve">Contact pharmacy schools with dissolution equipment (most do)</w:t>
      </w:r>
    </w:p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University of Michigan College of Pharmacy</w:t>
      </w:r>
    </w:p>
    <w:p>
      <w:pPr>
        <w:pStyle w:val="Compact"/>
        <w:numPr>
          <w:ilvl w:val="0"/>
          <w:numId w:val="1028"/>
        </w:numPr>
      </w:pPr>
      <w:r>
        <w:t xml:space="preserve">University of Texas at Austin College of Pharmacy</w:t>
      </w:r>
    </w:p>
    <w:p>
      <w:pPr>
        <w:pStyle w:val="Compact"/>
        <w:numPr>
          <w:ilvl w:val="0"/>
          <w:numId w:val="1028"/>
        </w:numPr>
      </w:pPr>
      <w:r>
        <w:t xml:space="preserve">University of North Carolina Eshelman School of Pharmacy</w:t>
      </w:r>
    </w:p>
    <w:p>
      <w:pPr>
        <w:pStyle w:val="Compact"/>
        <w:numPr>
          <w:ilvl w:val="0"/>
          <w:numId w:val="1028"/>
        </w:numPr>
      </w:pPr>
      <w:r>
        <w:t xml:space="preserve">Rutgers Ernest Mario School of Pharmacy</w:t>
      </w:r>
    </w:p>
    <w:p>
      <w:pPr>
        <w:pStyle w:val="Compact"/>
        <w:numPr>
          <w:ilvl w:val="0"/>
          <w:numId w:val="1028"/>
        </w:numPr>
      </w:pPr>
      <w:r>
        <w:t xml:space="preserve">Any local pharmacy school with equipment access</w:t>
      </w:r>
    </w:p>
    <w:bookmarkEnd w:id="57"/>
    <w:bookmarkStart w:id="58" w:name="X286647ee48db923ddf7244107b39fafdb146137"/>
    <w:p>
      <w:pPr>
        <w:pStyle w:val="Heading4"/>
      </w:pPr>
      <w:r>
        <w:t xml:space="preserve">2. PCCA (Professional Compounding Centers of America)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$200-500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Compounding-focused; understands your application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May prioritize member pharmacies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pccarx.com | 800-331-2498</w:t>
      </w:r>
    </w:p>
    <w:bookmarkEnd w:id="58"/>
    <w:bookmarkStart w:id="59" w:name="contract-testing-labs-mid-range"/>
    <w:p>
      <w:pPr>
        <w:pStyle w:val="Heading4"/>
      </w:pPr>
      <w:r>
        <w:t xml:space="preserve">3. Contract Testing Labs (Mid-Range)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$300-800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5-10 business days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Food Laboratories (AFL)</w:t>
            </w:r>
          </w:p>
        </w:tc>
        <w:tc>
          <w:tcPr/>
          <w:p>
            <w:pPr>
              <w:pStyle w:val="Compact"/>
            </w:pPr>
            <w:r>
              <w:t xml:space="preserve">Grand Prairie, TX</w:t>
            </w:r>
          </w:p>
        </w:tc>
        <w:tc>
          <w:tcPr/>
          <w:p>
            <w:pPr>
              <w:pStyle w:val="Compact"/>
            </w:pPr>
            <w:r>
              <w:t xml:space="preserve">afltexas.com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Intertek Pharmaceutical Services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intertek.com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Materials Technology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element.com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SGS Life Sciences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sgs.com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Eurofins Lancaster Labs</w:t>
            </w:r>
          </w:p>
        </w:tc>
        <w:tc>
          <w:tcPr/>
          <w:p>
            <w:pPr>
              <w:pStyle w:val="Compact"/>
            </w:pPr>
            <w:r>
              <w:t xml:space="preserve">Lancaster, PA</w:t>
            </w:r>
          </w:p>
        </w:tc>
        <w:tc>
          <w:tcPr/>
          <w:p>
            <w:pPr>
              <w:pStyle w:val="Compact"/>
            </w:pPr>
            <w:r>
              <w:t xml:space="preserve">eurofins.com</w:t>
            </w:r>
          </w:p>
        </w:tc>
      </w:tr>
    </w:tbl>
    <w:bookmarkEnd w:id="59"/>
    <w:bookmarkEnd w:id="60"/>
    <w:bookmarkStart w:id="62" w:name="X63a6bc8faf096ddb93e03d16fa43bbc11b2f749"/>
    <w:p>
      <w:pPr>
        <w:pStyle w:val="Heading3"/>
      </w:pPr>
      <w:r>
        <w:t xml:space="preserve">Full-Service CROs (More Expensive but Comprehensive)</w:t>
      </w:r>
    </w:p>
    <w:bookmarkStart w:id="61" w:name="specialty-pharma-cros"/>
    <w:p>
      <w:pPr>
        <w:pStyle w:val="Heading4"/>
      </w:pPr>
      <w:r>
        <w:t xml:space="preserve">4. Specialty Pharma CROs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$1,000-3,000 per study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2-4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Full service; can do dissolution + assay + stability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Dissolution, PK</w:t>
            </w:r>
          </w:p>
        </w:tc>
        <w:tc>
          <w:tcPr/>
          <w:p>
            <w:pPr>
              <w:pStyle w:val="Compact"/>
            </w:pPr>
            <w:r>
              <w:t xml:space="preserve">absorption.com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Analytical</w:t>
            </w:r>
          </w:p>
        </w:tc>
        <w:tc>
          <w:tcPr/>
          <w:p>
            <w:pPr>
              <w:pStyle w:val="Compact"/>
            </w:pPr>
            <w:r>
              <w:t xml:space="preserve">Physical characterization</w:t>
            </w:r>
          </w:p>
        </w:tc>
        <w:tc>
          <w:tcPr/>
          <w:p>
            <w:pPr>
              <w:pStyle w:val="Compact"/>
            </w:pPr>
            <w:r>
              <w:t xml:space="preserve">gatewayanalytical.com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 Sciences (Lubrizol)</w:t>
            </w:r>
          </w:p>
        </w:tc>
        <w:tc>
          <w:tcPr/>
          <w:p>
            <w:pPr>
              <w:pStyle w:val="Compact"/>
            </w:pPr>
            <w:r>
              <w:t xml:space="preserve">Formulation support</w:t>
            </w:r>
          </w:p>
        </w:tc>
        <w:tc>
          <w:tcPr/>
          <w:p>
            <w:pPr>
              <w:pStyle w:val="Compact"/>
            </w:pPr>
            <w:r>
              <w:t xml:space="preserve">particlesciences.com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Contract Services</w:t>
            </w:r>
          </w:p>
        </w:tc>
        <w:tc>
          <w:tcPr/>
          <w:p>
            <w:pPr>
              <w:pStyle w:val="Compact"/>
            </w:pPr>
            <w:r>
              <w:t xml:space="preserve">Full CMC package</w:t>
            </w:r>
          </w:p>
        </w:tc>
        <w:tc>
          <w:tcPr/>
          <w:p>
            <w:pPr>
              <w:pStyle w:val="Compact"/>
            </w:pPr>
            <w:r>
              <w:t xml:space="preserve">metricscontractservices.com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Catalent</w:t>
            </w:r>
          </w:p>
        </w:tc>
        <w:tc>
          <w:tcPr/>
          <w:p>
            <w:pPr>
              <w:pStyle w:val="Compact"/>
            </w:pPr>
            <w:r>
              <w:t xml:space="preserve">Full service CDMO</w:t>
            </w:r>
          </w:p>
        </w:tc>
        <w:tc>
          <w:tcPr/>
          <w:p>
            <w:pPr>
              <w:pStyle w:val="Compact"/>
            </w:pPr>
            <w:r>
              <w:t xml:space="preserve">catalent.com</w:t>
            </w:r>
          </w:p>
        </w:tc>
      </w:tr>
    </w:tbl>
    <w:bookmarkEnd w:id="61"/>
    <w:bookmarkEnd w:id="62"/>
    <w:bookmarkStart w:id="64" w:name="diy-option"/>
    <w:p>
      <w:pPr>
        <w:pStyle w:val="Heading3"/>
      </w:pPr>
      <w:r>
        <w:t xml:space="preserve">DIY Option</w:t>
      </w:r>
    </w:p>
    <w:bookmarkStart w:id="63" w:name="buyrent-equipment"/>
    <w:p>
      <w:pPr>
        <w:pStyle w:val="Heading4"/>
      </w:pPr>
      <w:r>
        <w:t xml:space="preserve">5. Buy/Rent Equipment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$5,000-15,000 (used dissolution apparatus) or $500-1,000/month rental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Unlimited testing; fast iteration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Need HPLC/UV for analysis; space requirements</w:t>
      </w:r>
    </w:p>
    <w:p>
      <w:pPr>
        <w:pStyle w:val="BodyText"/>
      </w:pPr>
      <w:r>
        <w:rPr>
          <w:b/>
          <w:bCs/>
        </w:rPr>
        <w:t xml:space="preserve">Equipment sources:</w:t>
      </w:r>
    </w:p>
    <w:p>
      <w:pPr>
        <w:pStyle w:val="Compact"/>
        <w:numPr>
          <w:ilvl w:val="0"/>
          <w:numId w:val="1029"/>
        </w:numPr>
      </w:pPr>
      <w:r>
        <w:t xml:space="preserve">eBay / LabX (used equipment)</w:t>
      </w:r>
    </w:p>
    <w:p>
      <w:pPr>
        <w:pStyle w:val="Compact"/>
        <w:numPr>
          <w:ilvl w:val="0"/>
          <w:numId w:val="1029"/>
        </w:numPr>
      </w:pPr>
      <w:r>
        <w:t xml:space="preserve">Agilent, Sotax, Distek (new equipment)</w:t>
      </w:r>
    </w:p>
    <w:p>
      <w:pPr>
        <w:pStyle w:val="Compact"/>
        <w:numPr>
          <w:ilvl w:val="0"/>
          <w:numId w:val="1029"/>
        </w:numPr>
      </w:pPr>
      <w:r>
        <w:t xml:space="preserve">Excedr (equipment leasing)</w:t>
      </w:r>
    </w:p>
    <w:bookmarkEnd w:id="63"/>
    <w:bookmarkEnd w:id="64"/>
    <w:bookmarkStart w:id="65" w:name="recommended-approach"/>
    <w:p>
      <w:pPr>
        <w:pStyle w:val="Heading3"/>
      </w:pPr>
      <w:r>
        <w:t xml:space="preserve">Recommended Approach</w:t>
      </w:r>
    </w:p>
    <w:p>
      <w:pPr>
        <w:pStyle w:val="FirstParagraph"/>
      </w:pPr>
      <w:r>
        <w:rPr>
          <w:b/>
          <w:bCs/>
        </w:rPr>
        <w:t xml:space="preserve">Start with a university lab or PCCA</w:t>
      </w:r>
      <w:r>
        <w:t xml:space="preserve"> </w:t>
      </w:r>
      <w:r>
        <w:t xml:space="preserve">for initial dissolution testing ($50-200/run). If you need more than 5-10 runs, consider a contract lab for efficiency.</w:t>
      </w:r>
    </w:p>
    <w:p>
      <w:pPr>
        <w:pStyle w:val="BodyText"/>
      </w:pPr>
      <w:r>
        <w:rPr>
          <w:b/>
          <w:bCs/>
        </w:rPr>
        <w:t xml:space="preserve">Budget estimate for dissolution testing:</w:t>
      </w:r>
    </w:p>
    <w:p>
      <w:pPr>
        <w:pStyle w:val="Compact"/>
        <w:numPr>
          <w:ilvl w:val="0"/>
          <w:numId w:val="1030"/>
        </w:numPr>
      </w:pPr>
      <w:r>
        <w:t xml:space="preserve">Development phase (10-15 runs): $500-2,000</w:t>
      </w:r>
    </w:p>
    <w:p>
      <w:pPr>
        <w:pStyle w:val="Compact"/>
        <w:numPr>
          <w:ilvl w:val="0"/>
          <w:numId w:val="1030"/>
        </w:numPr>
      </w:pPr>
      <w:r>
        <w:t xml:space="preserve">Fed-state testing (3-5 runs): $150-500</w:t>
      </w:r>
    </w:p>
    <w:p>
      <w:pPr>
        <w:pStyle w:val="Compact"/>
        <w:numPr>
          <w:ilvl w:val="0"/>
          <w:numId w:val="1030"/>
        </w:numPr>
      </w:pPr>
      <w:r>
        <w:t xml:space="preserve">Stability testing (10-15 runs over 6 months): $500-1,500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Total: $1,150-4,000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nimal-pk-study-providers"/>
    <w:p>
      <w:pPr>
        <w:pStyle w:val="Heading2"/>
      </w:pPr>
      <w:r>
        <w:t xml:space="preserve">Animal PK Study Providers</w:t>
      </w:r>
    </w:p>
    <w:p>
      <w:pPr>
        <w:pStyle w:val="FirstParagraph"/>
      </w:pPr>
      <w:r>
        <w:t xml:space="preserve">If you decide to do the dog PK study: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Excellent for oral PK; IVIVC expertise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QPS Holdings</w:t>
            </w:r>
          </w:p>
        </w:tc>
        <w:tc>
          <w:tcPr/>
          <w:p>
            <w:pPr>
              <w:pStyle w:val="Compact"/>
            </w:pPr>
            <w:r>
              <w:t xml:space="preserve">Newark, DE</w:t>
            </w:r>
          </w:p>
        </w:tc>
        <w:tc>
          <w:tcPr/>
          <w:p>
            <w:pPr>
              <w:pStyle w:val="Compact"/>
            </w:pPr>
            <w:r>
              <w:t xml:space="preserve">$30-45K</w:t>
            </w:r>
          </w:p>
        </w:tc>
        <w:tc>
          <w:tcPr/>
          <w:p>
            <w:pPr>
              <w:pStyle w:val="Compact"/>
            </w:pPr>
            <w:r>
              <w:t xml:space="preserve">Good for small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Covance (Labcorp Drug Development)</w:t>
            </w:r>
          </w:p>
        </w:tc>
        <w:tc>
          <w:tcPr/>
          <w:p>
            <w:pPr>
              <w:pStyle w:val="Compact"/>
            </w:pPr>
            <w:r>
              <w:t xml:space="preserve">Madison, WI</w:t>
            </w:r>
          </w:p>
        </w:tc>
        <w:tc>
          <w:tcPr/>
          <w:p>
            <w:pPr>
              <w:pStyle w:val="Compact"/>
            </w:pPr>
            <w:r>
              <w:t xml:space="preserve">$40-60K</w:t>
            </w:r>
          </w:p>
        </w:tc>
        <w:tc>
          <w:tcPr/>
          <w:p>
            <w:pPr>
              <w:pStyle w:val="Compact"/>
            </w:pPr>
            <w:r>
              <w:t xml:space="preserve">Large CRO; may have minimums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Charles River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$40-55K</w:t>
            </w:r>
          </w:p>
        </w:tc>
        <w:tc>
          <w:tcPr/>
          <w:p>
            <w:pPr>
              <w:pStyle w:val="Compact"/>
            </w:pPr>
            <w:r>
              <w:t xml:space="preserve">Large CRO; comprehensive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(PRA Health Sciences)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Good for crossover designs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Frontage Laboratories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$25-40K</w:t>
            </w:r>
          </w:p>
        </w:tc>
        <w:tc>
          <w:tcPr/>
          <w:p>
            <w:pPr>
              <w:pStyle w:val="Compact"/>
            </w:pPr>
            <w:r>
              <w:t xml:space="preserve">Often more competitive pricing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master-checklist-before-human-use"/>
    <w:p>
      <w:pPr>
        <w:pStyle w:val="Heading2"/>
      </w:pPr>
      <w:r>
        <w:t xml:space="preserve">Master Checklist: Before Human Use</w:t>
      </w:r>
    </w:p>
    <w:bookmarkStart w:id="68" w:name="critical-requirements"/>
    <w:p>
      <w:pPr>
        <w:pStyle w:val="Heading3"/>
      </w:pPr>
      <w:r>
        <w:t xml:space="preserve">CRITICAL REQUIREMENTS</w:t>
      </w:r>
    </w:p>
    <w:p>
      <w:pPr>
        <w:pStyle w:val="Compact"/>
        <w:numPr>
          <w:ilvl w:val="0"/>
          <w:numId w:val="1031"/>
        </w:numPr>
      </w:pPr>
      <w:r>
        <w:t xml:space="preserve">Dissolution meets target profile (20-25% 1h, 50-60% 4h, &gt;85% 12h)</w:t>
      </w:r>
    </w:p>
    <w:p>
      <w:pPr>
        <w:pStyle w:val="Compact"/>
        <w:numPr>
          <w:ilvl w:val="0"/>
          <w:numId w:val="1031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31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31"/>
        </w:numPr>
      </w:pPr>
      <w:r>
        <w:t xml:space="preserve">1-month accelerated stability: no significant change</w:t>
      </w:r>
    </w:p>
    <w:p>
      <w:pPr>
        <w:pStyle w:val="Compact"/>
        <w:numPr>
          <w:ilvl w:val="0"/>
          <w:numId w:val="1031"/>
        </w:numPr>
      </w:pPr>
      <w:r>
        <w:t xml:space="preserve">Compounding pharmacy can reproduce your results</w:t>
      </w:r>
    </w:p>
    <w:p>
      <w:pPr>
        <w:pStyle w:val="Compact"/>
        <w:numPr>
          <w:ilvl w:val="0"/>
          <w:numId w:val="1031"/>
        </w:numPr>
      </w:pPr>
      <w:r>
        <w:t xml:space="preserve">Licensed physician willing to prescribe</w:t>
      </w:r>
    </w:p>
    <w:p>
      <w:pPr>
        <w:pStyle w:val="Compact"/>
        <w:numPr>
          <w:ilvl w:val="0"/>
          <w:numId w:val="1031"/>
        </w:numPr>
      </w:pPr>
      <w:r>
        <w:t xml:space="preserve">Patient information/consent document prepared</w:t>
      </w:r>
    </w:p>
    <w:bookmarkEnd w:id="68"/>
    <w:bookmarkStart w:id="69" w:name="complete-pre-human-checklist"/>
    <w:p>
      <w:pPr>
        <w:pStyle w:val="Heading3"/>
      </w:pPr>
      <w:r>
        <w:t xml:space="preserve">Complete Pre-Human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Finalize formula composition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 all excipients (pharma grade)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Source minoxidil API (USP grade, with COA)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Make development batches (3 minimum)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Dissolution testing - fasted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Dissolution testing - fed state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Iterate formula if dissolution off-spec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Assay testing (HPLC)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Content uniformity testing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Physical testing (weight, hardness, friability)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Place samples on accelerated stability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1-month accelerated stability results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DSC testing for polymorphism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Dog PK study (fed/fasted)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Optional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Identify compounding pharmacy partner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Technology transfer to pharmacy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Pharmacy qualification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Dissolution on pharmacy's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Identify prescribing physician(s)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Create patient information document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Establish prescription workflow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Document all development work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recommended-sequence"/>
    <w:p>
      <w:pPr>
        <w:pStyle w:val="Heading2"/>
      </w:pPr>
      <w:r>
        <w:t xml:space="preserve">Recommended Sequence</w:t>
      </w:r>
    </w:p>
    <w:p>
      <w:pPr>
        <w:pStyle w:val="SourceCode"/>
      </w:pPr>
      <w:r>
        <w:br/>
      </w:r>
      <w:r>
        <w:rPr>
          <w:rStyle w:val="VerbatimChar"/>
        </w:rPr>
        <w:t xml:space="preserve">WEEK 1-2: Source materials, make first batches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2-3: Dissolution testing (iterate if needed)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3-4: QC testing (assay, CU, physical)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4+: Stability testing         WEEK 4-5: Pharmacy outreach</w:t>
      </w:r>
      <w:r>
        <w:br/>
      </w:r>
      <w:r>
        <w:rPr>
          <w:rStyle w:val="VerbatimChar"/>
        </w:rPr>
        <w:t xml:space="preserve">(runs in parallel)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│                              WEEK 5-6: Tech transfer</w:t>
      </w:r>
      <w:r>
        <w:br/>
      </w:r>
      <w:r>
        <w:rPr>
          <w:rStyle w:val="VerbatimChar"/>
        </w:rPr>
        <w:t xml:space="preserve">    │                                  │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8: 1-month stability          WEEK 6-7: Pharmacy qualification</w:t>
      </w:r>
      <w:r>
        <w:br/>
      </w:r>
      <w:r>
        <w:rPr>
          <w:rStyle w:val="VerbatimChar"/>
        </w:rPr>
        <w:t xml:space="preserve">         results  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WEEK 8-10: Ready for first patient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OPTIONAL: Dog PK study (parallel track, 4-6 weeks)</w:t>
      </w:r>
    </w:p>
    <w:p>
      <w:r>
        <w:pict>
          <v:rect style="width:0;height:1.5pt" o:hralign="center" o:hrstd="t" o:hr="t"/>
        </w:pict>
      </w:r>
    </w:p>
    <w:bookmarkEnd w:id="71"/>
    <w:bookmarkStart w:id="72" w:name="budget-summary"/>
    <w:p>
      <w:pPr>
        <w:pStyle w:val="Heading2"/>
      </w:pPr>
      <w:r>
        <w:t xml:space="preserve">Budget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Low Estimate</w:t>
            </w:r>
          </w:p>
        </w:tc>
        <w:tc>
          <w:tcPr/>
          <w:p>
            <w:pPr>
              <w:pStyle w:val="Compact"/>
            </w:pPr>
            <w:r>
              <w:t xml:space="preserve">High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Excipients &amp; API (development quantities)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 testing (15-20 runs)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 &amp; CU testing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testing</w:t>
            </w:r>
          </w:p>
        </w:tc>
        <w:tc>
          <w:tcPr/>
          <w:p>
            <w:pPr>
              <w:pStyle w:val="Compact"/>
            </w:pPr>
            <w:r>
              <w:t xml:space="preserve">$200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 testing (6 months)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DSC/XRD testing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tech transfer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(20%)</w:t>
            </w:r>
          </w:p>
        </w:tc>
        <w:tc>
          <w:tcPr/>
          <w:p>
            <w:pPr>
              <w:pStyle w:val="Compact"/>
            </w:pPr>
            <w:r>
              <w:t xml:space="preserve">$900</w:t>
            </w:r>
          </w:p>
        </w:tc>
        <w:tc>
          <w:tcPr/>
          <w:p>
            <w:pPr>
              <w:pStyle w:val="Compact"/>
            </w:pPr>
            <w:r>
              <w:t xml:space="preserve">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dog PK)</w:t>
            </w:r>
          </w:p>
        </w:tc>
        <w:tc>
          <w:tcPr/>
          <w:p>
            <w:pPr>
              <w:pStyle w:val="Compact"/>
            </w:pPr>
            <w:r>
              <w:t xml:space="preserve">$5,400</w:t>
            </w:r>
          </w:p>
        </w:tc>
        <w:tc>
          <w:tcPr/>
          <w:p>
            <w:pPr>
              <w:pStyle w:val="Compact"/>
            </w:pPr>
            <w:r>
              <w:t xml:space="preserve">$18,000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 PK study (optional)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 dog PK)</w:t>
            </w:r>
          </w:p>
        </w:tc>
        <w:tc>
          <w:tcPr/>
          <w:p>
            <w:pPr>
              <w:pStyle w:val="Compact"/>
            </w:pPr>
            <w:r>
              <w:t xml:space="preserve">$30,400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6" w:name="key-decision-points"/>
    <w:p>
      <w:pPr>
        <w:pStyle w:val="Heading2"/>
      </w:pPr>
      <w:r>
        <w:t xml:space="preserve">Key Decision Points</w:t>
      </w:r>
    </w:p>
    <w:bookmarkStart w:id="73" w:name="Xd89137dbf05a26b4b783c1fa929924f4bdc3912"/>
    <w:p>
      <w:pPr>
        <w:pStyle w:val="Heading4"/>
      </w:pPr>
      <w:r>
        <w:t xml:space="preserve">Decision 1: After Initial Dissolution Testing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 dissolution meets spec:</w:t>
      </w:r>
      <w:r>
        <w:t xml:space="preserve"> </w:t>
      </w:r>
      <w:r>
        <w:t xml:space="preserve">Proceed to QC and stability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 dissolution too fast:</w:t>
      </w:r>
      <w:r>
        <w:t xml:space="preserve"> </w:t>
      </w:r>
      <w:r>
        <w:t xml:space="preserve">Increase Compritol, decrease PEG, re-test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 dissolution too slow:</w:t>
      </w:r>
      <w:r>
        <w:t xml:space="preserve"> </w:t>
      </w:r>
      <w:r>
        <w:t xml:space="preserve">Decrease Compritol, increase PEG, re-test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If can't get it right after 4 iterations:</w:t>
      </w:r>
      <w:r>
        <w:t xml:space="preserve"> </w:t>
      </w:r>
      <w:r>
        <w:t xml:space="preserve">Consider pivoting to MUPS</w:t>
      </w:r>
    </w:p>
    <w:bookmarkEnd w:id="73"/>
    <w:bookmarkStart w:id="74" w:name="Xa4d0a4acf14ee9dc7e6f5802796e8e83d206794"/>
    <w:p>
      <w:pPr>
        <w:pStyle w:val="Heading4"/>
      </w:pPr>
      <w:r>
        <w:t xml:space="preserve">Decision 2: After 1-Month Accelerated Stability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stable:</w:t>
      </w:r>
      <w:r>
        <w:t xml:space="preserve"> </w:t>
      </w:r>
      <w:r>
        <w:t xml:space="preserve">Proceed to compounding setup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dissolution slows &gt;15%:</w:t>
      </w:r>
      <w:r>
        <w:t xml:space="preserve"> </w:t>
      </w:r>
      <w:r>
        <w:t xml:space="preserve">Add annealing step, re-test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assay drops &gt;5%:</w:t>
      </w:r>
      <w:r>
        <w:t xml:space="preserve"> </w:t>
      </w:r>
      <w:r>
        <w:t xml:space="preserve">Investigate degradation, may need formulation change</w:t>
      </w:r>
    </w:p>
    <w:bookmarkEnd w:id="74"/>
    <w:bookmarkStart w:id="75" w:name="decision-3-dog-pk-study"/>
    <w:p>
      <w:pPr>
        <w:pStyle w:val="Heading4"/>
      </w:pPr>
      <w:r>
        <w:t xml:space="preserve">Decision 3: Dog PK Study?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 it if:</w:t>
      </w:r>
      <w:r>
        <w:t xml:space="preserve"> </w:t>
      </w:r>
      <w:r>
        <w:t xml:space="preserve">You plan to eventually seek FDA approval, or want to de-risk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Skip it if:</w:t>
      </w:r>
      <w:r>
        <w:t xml:space="preserve"> </w:t>
      </w:r>
      <w:r>
        <w:t xml:space="preserve">Budget limited, going compounding-only, dissolution looks excellent</w:t>
      </w:r>
    </w:p>
    <w:bookmarkEnd w:id="75"/>
    <w:p>
      <w:r>
        <w:pict>
          <v:rect style="width:0;height:1.5pt" o:hralign="center" o:hrstd="t" o:hr="t"/>
        </w:pict>
      </w:r>
    </w:p>
    <w:bookmarkEnd w:id="76"/>
    <w:bookmarkStart w:id="85" w:name="Xc832543a1765f2d7c94c2785198267da74402c4"/>
    <w:p>
      <w:pPr>
        <w:pStyle w:val="Heading2"/>
      </w:pPr>
      <w:r>
        <w:t xml:space="preserve">Appendix A: Safety Assumptions &amp; Monitoring Protocol</w:t>
      </w:r>
    </w:p>
    <w:bookmarkStart w:id="77" w:name="purpose-of-this-appendix"/>
    <w:p>
      <w:pPr>
        <w:pStyle w:val="Heading4"/>
      </w:pPr>
      <w:r>
        <w:t xml:space="preserve">Purpose of This Appendix</w:t>
      </w:r>
    </w:p>
    <w:p>
      <w:pPr>
        <w:pStyle w:val="FirstParagraph"/>
      </w:pPr>
      <w:r>
        <w:t xml:space="preserve">This section documents the safety rationale underlying our PK targets and specifies what we will monitor in human PK studies. It addresses the question:</w:t>
      </w:r>
      <w:r>
        <w:t xml:space="preserve"> </w:t>
      </w:r>
      <w:r>
        <w:rPr>
          <w:i/>
          <w:iCs/>
        </w:rPr>
        <w:t xml:space="preserve">"Why do you believe 6-10 ng/mL is safe?"</w:t>
      </w:r>
    </w:p>
    <w:bookmarkEnd w:id="77"/>
    <w:bookmarkStart w:id="78" w:name="X202c3eb3b2e87f58f38943490e1eae419c5556c"/>
    <w:p>
      <w:pPr>
        <w:pStyle w:val="Heading3"/>
      </w:pPr>
      <w:r>
        <w:t xml:space="preserve">A.1 Cardiac Activity Threshold: Evidence Basis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Loniten FDA Label</w:t>
            </w:r>
          </w:p>
        </w:tc>
        <w:tc>
          <w:tcPr/>
          <w:p>
            <w:pPr>
              <w:pStyle w:val="Compact"/>
            </w:pPr>
            <w:r>
              <w:t xml:space="preserve">Cardiovascular effects (tachycardia, fluid retention) observed at antihypertensive doses (10-40 mg/day), which produce Cmax &gt;20 ng/mL</w:t>
            </w:r>
          </w:p>
        </w:tc>
        <w:tc>
          <w:tcPr/>
          <w:p>
            <w:pPr>
              <w:pStyle w:val="Compact"/>
            </w:pPr>
            <w:r>
              <w:t xml:space="preserve">Loniten Prescribing Information, FDA Reference ID: 3839461, Rev. October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Fleishaker 1989</w:t>
            </w:r>
          </w:p>
        </w:tc>
        <w:tc>
          <w:tcPr/>
          <w:p>
            <w:pPr>
              <w:pStyle w:val="Compact"/>
            </w:pPr>
            <w:r>
              <w:t xml:space="preserve">At 2.5 mg single dose, Cmax = 16.8 ± 7.83 ng/mL with minimal hemodynamic effects in healthy volunteers</w:t>
            </w:r>
          </w:p>
        </w:tc>
        <w:tc>
          <w:tcPr/>
          <w:p>
            <w:pPr>
              <w:pStyle w:val="Compact"/>
            </w:pPr>
            <w:r>
              <w:t xml:space="preserve">J Clin Pharmacol. 1989;29(2):162-7. PMID: 2715373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Vano-Galvan 2021</w:t>
            </w:r>
          </w:p>
        </w:tc>
        <w:tc>
          <w:tcPr/>
          <w:p>
            <w:pPr>
              <w:pStyle w:val="Compact"/>
            </w:pPr>
            <w:r>
              <w:t xml:space="preserve">1,404 patients on 0.25-5 mg/day (estimated Cmax 2-15 ng/mL); 98.3% continued treatment; no serious cardiovascular events</w:t>
            </w:r>
          </w:p>
        </w:tc>
        <w:tc>
          <w:tcPr/>
          <w:p>
            <w:pPr>
              <w:pStyle w:val="Compact"/>
            </w:pPr>
            <w:r>
              <w:t xml:space="preserve">J Am Acad Dermatol. 2021;84(6):1644-1651. PMID: 33259872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Clinical Consensus</w:t>
            </w:r>
          </w:p>
        </w:tc>
        <w:tc>
          <w:tcPr/>
          <w:p>
            <w:pPr>
              <w:pStyle w:val="Compact"/>
            </w:pPr>
            <w:r>
              <w:t xml:space="preserve">Cardiovascular effects become clinically relevant when Cmax approaches or exceeds ~20 ng/mL; below this, effects are generally mild and manageable</w:t>
            </w:r>
          </w:p>
        </w:tc>
        <w:tc>
          <w:tcPr/>
          <w:p>
            <w:pPr>
              <w:pStyle w:val="Compact"/>
            </w:pPr>
            <w:r>
              <w:t xml:space="preserve">Multiple reviews: Randolph 2021, Jimenez-Cauhe 2020</w:t>
            </w:r>
          </w:p>
        </w:tc>
      </w:tr>
    </w:tbl>
    <w:bookmarkEnd w:id="78"/>
    <w:bookmarkStart w:id="81" w:name="X802182d25923ba889851a1494114a845d2efbd9"/>
    <w:p>
      <w:pPr>
        <w:pStyle w:val="Heading3"/>
      </w:pPr>
      <w:r>
        <w:t xml:space="preserve">A.2 What We Are Claiming vs. Not Claiming</w:t>
      </w:r>
    </w:p>
    <w:bookmarkStart w:id="79" w:name="what-we-are-claiming"/>
    <w:p>
      <w:pPr>
        <w:pStyle w:val="Heading4"/>
      </w:pPr>
      <w:r>
        <w:t xml:space="preserve">What We ARE Claiming</w:t>
      </w:r>
    </w:p>
    <w:p>
      <w:pPr>
        <w:pStyle w:val="Compact"/>
        <w:numPr>
          <w:ilvl w:val="0"/>
          <w:numId w:val="1035"/>
        </w:numPr>
      </w:pPr>
      <w:r>
        <w:t xml:space="preserve">Cmax of 6-10 ng/mL is within the range used safely in thousands of patients</w:t>
      </w:r>
    </w:p>
    <w:p>
      <w:pPr>
        <w:pStyle w:val="Compact"/>
        <w:numPr>
          <w:ilvl w:val="0"/>
          <w:numId w:val="1035"/>
        </w:numPr>
      </w:pPr>
      <w:r>
        <w:t xml:space="preserve">Cmax is a reasonable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for peak pharmacodynamic burden</w:t>
      </w:r>
    </w:p>
    <w:p>
      <w:pPr>
        <w:pStyle w:val="Compact"/>
        <w:numPr>
          <w:ilvl w:val="0"/>
          <w:numId w:val="1035"/>
        </w:numPr>
      </w:pPr>
      <w:r>
        <w:t xml:space="preserve">Reducing Cmax vs. IR minoxidil should reduce peak-related cardiovascular effects</w:t>
      </w:r>
    </w:p>
    <w:p>
      <w:pPr>
        <w:pStyle w:val="Compact"/>
        <w:numPr>
          <w:ilvl w:val="0"/>
          <w:numId w:val="1035"/>
        </w:numPr>
      </w:pPr>
      <w:r>
        <w:t xml:space="preserve">ER formulation allows higher total daily dose while keeping Cmax below threshold</w:t>
      </w:r>
    </w:p>
    <w:bookmarkEnd w:id="79"/>
    <w:bookmarkStart w:id="80" w:name="what-we-are-not-claiming"/>
    <w:p>
      <w:pPr>
        <w:pStyle w:val="Heading4"/>
      </w:pPr>
      <w:r>
        <w:t xml:space="preserve">What We Are NOT Claiming</w:t>
      </w:r>
    </w:p>
    <w:p>
      <w:pPr>
        <w:pStyle w:val="Compact"/>
        <w:numPr>
          <w:ilvl w:val="0"/>
          <w:numId w:val="1036"/>
        </w:numPr>
      </w:pPr>
      <w:r>
        <w:t xml:space="preserve">We are NOT claiming Cmax alone predicts all safety outcomes</w:t>
      </w:r>
    </w:p>
    <w:p>
      <w:pPr>
        <w:pStyle w:val="Compact"/>
        <w:numPr>
          <w:ilvl w:val="0"/>
          <w:numId w:val="1036"/>
        </w:numPr>
      </w:pPr>
      <w:r>
        <w:t xml:space="preserve">We are NOT claiming tissue accumulation (e.g., cardiac tissue) is being measured or controlled</w:t>
      </w:r>
    </w:p>
    <w:p>
      <w:pPr>
        <w:pStyle w:val="Compact"/>
        <w:numPr>
          <w:ilvl w:val="0"/>
          <w:numId w:val="1036"/>
        </w:numPr>
      </w:pPr>
      <w:r>
        <w:t xml:space="preserve">We are NOT claiming safety in patients with pre-existing cardiac conditions, renal impairment, or those on concurrent antihypertensives</w:t>
      </w:r>
    </w:p>
    <w:p>
      <w:pPr>
        <w:pStyle w:val="Compact"/>
        <w:numPr>
          <w:ilvl w:val="0"/>
          <w:numId w:val="1036"/>
        </w:numPr>
      </w:pPr>
      <w:r>
        <w:t xml:space="preserve">We are NOT claiming the 20 ng/mL threshold is an absolute safety boundary—it is a practical guideline based on clinical experience</w:t>
      </w:r>
    </w:p>
    <w:bookmarkEnd w:id="80"/>
    <w:bookmarkEnd w:id="81"/>
    <w:bookmarkStart w:id="82" w:name="a.3-human-pk-safety-monitoring-protocol"/>
    <w:p>
      <w:pPr>
        <w:pStyle w:val="Heading3"/>
      </w:pPr>
      <w:r>
        <w:t xml:space="preserve">A.3 Human PK Safety Monitoring Protocol</w:t>
      </w:r>
    </w:p>
    <w:p>
      <w:pPr>
        <w:pStyle w:val="FirstParagraph"/>
      </w:pPr>
      <w:r>
        <w:t xml:space="preserve">During the physician self-test PK study, the following will be monitored: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Blood Pressure</w:t>
            </w:r>
          </w:p>
        </w:tc>
        <w:tc>
          <w:tcPr/>
          <w:p>
            <w:pPr>
              <w:pStyle w:val="Compact"/>
            </w:pPr>
            <w:r>
              <w:t xml:space="preserve">Automated cuff (seated, 5 min rest)</w:t>
            </w:r>
          </w:p>
        </w:tc>
        <w:tc>
          <w:tcPr/>
          <w:p>
            <w:pPr>
              <w:pStyle w:val="Compact"/>
            </w:pPr>
            <w:r>
              <w:t xml:space="preserve">Baseline, 1h, 2h, 4h, 8h post-dose</w:t>
            </w:r>
          </w:p>
        </w:tc>
        <w:tc>
          <w:tcPr/>
          <w:p>
            <w:pPr>
              <w:pStyle w:val="Compact"/>
            </w:pPr>
            <w:r>
              <w:t xml:space="preserve">SBP drop &gt;30 mmHg or SBP &lt;90 mmHg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 Rate</w:t>
            </w:r>
          </w:p>
        </w:tc>
        <w:tc>
          <w:tcPr/>
          <w:p>
            <w:pPr>
              <w:pStyle w:val="Compact"/>
            </w:pPr>
            <w:r>
              <w:t xml:space="preserve">Pulse oximeter or manual</w:t>
            </w:r>
          </w:p>
        </w:tc>
        <w:tc>
          <w:tcPr/>
          <w:p>
            <w:pPr>
              <w:pStyle w:val="Compact"/>
            </w:pPr>
            <w:r>
              <w:t xml:space="preserve">Baseline, 1h, 2h, 4h, 8h post-dose</w:t>
            </w:r>
          </w:p>
        </w:tc>
        <w:tc>
          <w:tcPr/>
          <w:p>
            <w:pPr>
              <w:pStyle w:val="Compact"/>
            </w:pPr>
            <w:r>
              <w:t xml:space="preserve">HR &gt;120 bpm sustained &gt;5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Symptoms</w:t>
            </w:r>
          </w:p>
        </w:tc>
        <w:tc>
          <w:tcPr/>
          <w:p>
            <w:pPr>
              <w:pStyle w:val="Compact"/>
            </w:pPr>
            <w:r>
              <w:t xml:space="preserve">Subject self-report</w:t>
            </w:r>
          </w:p>
        </w:tc>
        <w:tc>
          <w:tcPr/>
          <w:p>
            <w:pPr>
              <w:pStyle w:val="Compact"/>
            </w:pPr>
            <w:r>
              <w:t xml:space="preserve">Continuous during study day</w:t>
            </w:r>
          </w:p>
        </w:tc>
        <w:tc>
          <w:tcPr/>
          <w:p>
            <w:pPr>
              <w:pStyle w:val="Compact"/>
            </w:pPr>
            <w:r>
              <w:t xml:space="preserve">Dizziness, palpitations, chest discomfort, SOB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Weight/Edema</w:t>
            </w:r>
          </w:p>
        </w:tc>
        <w:tc>
          <w:tcPr/>
          <w:p>
            <w:pPr>
              <w:pStyle w:val="Compact"/>
            </w:pPr>
            <w:r>
              <w:t xml:space="preserve">Scale; ankle inspection</w:t>
            </w:r>
          </w:p>
        </w:tc>
        <w:tc>
          <w:tcPr/>
          <w:p>
            <w:pPr>
              <w:pStyle w:val="Compact"/>
            </w:pPr>
            <w:r>
              <w:t xml:space="preserve">Baseline, Day 2, Day 8</w:t>
            </w:r>
          </w:p>
        </w:tc>
        <w:tc>
          <w:tcPr/>
          <w:p>
            <w:pPr>
              <w:pStyle w:val="Compact"/>
            </w:pPr>
            <w:r>
              <w:t xml:space="preserve">Weight gain &gt;2 kg; visible ankle edema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ECG (Optional)</w:t>
            </w:r>
          </w:p>
        </w:tc>
        <w:tc>
          <w:tcPr/>
          <w:p>
            <w:pPr>
              <w:pStyle w:val="Compact"/>
            </w:pPr>
            <w:r>
              <w:t xml:space="preserve">12-lead or single-lead device</w:t>
            </w:r>
          </w:p>
        </w:tc>
        <w:tc>
          <w:tcPr/>
          <w:p>
            <w:pPr>
              <w:pStyle w:val="Compact"/>
            </w:pPr>
            <w:r>
              <w:t xml:space="preserve">Baseline, 2h post-dose</w:t>
            </w:r>
          </w:p>
        </w:tc>
        <w:tc>
          <w:tcPr/>
          <w:p>
            <w:pPr>
              <w:pStyle w:val="Compact"/>
            </w:pPr>
            <w:r>
              <w:t xml:space="preserve">New arrhythmia, significant ST changes</w:t>
            </w:r>
          </w:p>
        </w:tc>
      </w:tr>
    </w:tbl>
    <w:bookmarkEnd w:id="82"/>
    <w:bookmarkStart w:id="84" w:name="X947c8962da0b1a4ae7c2e090e84a4653951ee04"/>
    <w:p>
      <w:pPr>
        <w:pStyle w:val="Heading3"/>
      </w:pPr>
      <w:r>
        <w:t xml:space="preserve">A.4 Factors That Increase Individual Risk</w:t>
      </w:r>
    </w:p>
    <w:p>
      <w:pPr>
        <w:pStyle w:val="FirstParagraph"/>
      </w:pPr>
      <w:r>
        <w:t xml:space="preserve">The following patient factors may increase sensitivity to minoxidil's cardiovascular effects and should be considered for future patient selection: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Pre-existing hypotension</w:t>
      </w:r>
      <w:r>
        <w:t xml:space="preserve"> </w:t>
      </w:r>
      <w:r>
        <w:t xml:space="preserve">(baseline SBP &lt;100 mmHg)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Concurrent antihypertensive medications</w:t>
      </w:r>
      <w:r>
        <w:t xml:space="preserve"> </w:t>
      </w:r>
      <w:r>
        <w:t xml:space="preserve">(additive BP lowering)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Renal impairment</w:t>
      </w:r>
      <w:r>
        <w:t xml:space="preserve"> </w:t>
      </w:r>
      <w:r>
        <w:t xml:space="preserve">(reduced clearance → higher exposure)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High sodium intake</w:t>
      </w:r>
      <w:r>
        <w:t xml:space="preserve"> </w:t>
      </w:r>
      <w:r>
        <w:t xml:space="preserve">(exacerbates fluid retention)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History of pericardial effusion</w:t>
      </w:r>
      <w:r>
        <w:t xml:space="preserve"> </w:t>
      </w:r>
      <w:r>
        <w:t xml:space="preserve">(rare but documented with high-dose minoxidil)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Congestive heart failure</w:t>
      </w:r>
      <w:r>
        <w:t xml:space="preserve"> </w:t>
      </w:r>
      <w:r>
        <w:t xml:space="preserve">(contraindicated per Loniten label)</w:t>
      </w:r>
    </w:p>
    <w:bookmarkStart w:id="83" w:name="initial-pk-study-exclusions"/>
    <w:p>
      <w:pPr>
        <w:pStyle w:val="Heading4"/>
      </w:pPr>
      <w:r>
        <w:t xml:space="preserve">Initial PK Study Exclusions</w:t>
      </w:r>
    </w:p>
    <w:p>
      <w:pPr>
        <w:pStyle w:val="FirstParagraph"/>
      </w:pPr>
      <w:r>
        <w:t xml:space="preserve">For the physician self-test, the volunteer should NOT have:</w:t>
      </w:r>
    </w:p>
    <w:p>
      <w:pPr>
        <w:pStyle w:val="Compact"/>
        <w:numPr>
          <w:ilvl w:val="0"/>
          <w:numId w:val="1038"/>
        </w:numPr>
      </w:pPr>
      <w:r>
        <w:t xml:space="preserve">Baseline SBP &lt;100 mmHg or DBP &lt;60 mmHg</w:t>
      </w:r>
    </w:p>
    <w:p>
      <w:pPr>
        <w:pStyle w:val="Compact"/>
        <w:numPr>
          <w:ilvl w:val="0"/>
          <w:numId w:val="1038"/>
        </w:numPr>
      </w:pPr>
      <w:r>
        <w:t xml:space="preserve">Current use of any antihypertensive medication</w:t>
      </w:r>
    </w:p>
    <w:p>
      <w:pPr>
        <w:pStyle w:val="Compact"/>
        <w:numPr>
          <w:ilvl w:val="0"/>
          <w:numId w:val="1038"/>
        </w:numPr>
      </w:pPr>
      <w:r>
        <w:t xml:space="preserve">Known cardiac disease or arrhythmia</w:t>
      </w:r>
    </w:p>
    <w:p>
      <w:pPr>
        <w:pStyle w:val="Compact"/>
        <w:numPr>
          <w:ilvl w:val="0"/>
          <w:numId w:val="1038"/>
        </w:numPr>
      </w:pPr>
      <w:r>
        <w:t xml:space="preserve">Renal impairment (eGFR &lt;60)</w:t>
      </w:r>
    </w:p>
    <w:bookmarkEnd w:id="83"/>
    <w:p>
      <w:r>
        <w:pict>
          <v:rect style="width:0;height:1.5pt" o:hralign="center" o:hrstd="t" o:hr="t"/>
        </w:pict>
      </w:r>
    </w:p>
    <w:bookmarkEnd w:id="84"/>
    <w:bookmarkEnd w:id="85"/>
    <w:bookmarkStart w:id="89" w:name="appendix-b-formal-gono-go-decision-gates"/>
    <w:p>
      <w:pPr>
        <w:pStyle w:val="Heading2"/>
      </w:pPr>
      <w:r>
        <w:t xml:space="preserve">Appendix B: Formal Go/No-Go Decision Gates</w:t>
      </w:r>
    </w:p>
    <w:bookmarkStart w:id="86" w:name="Xe0674769f5cd9a3b02f43cfdf8a0a85f80acaf1"/>
    <w:p>
      <w:pPr>
        <w:pStyle w:val="Heading4"/>
      </w:pPr>
      <w:r>
        <w:t xml:space="preserve">Gate Structure: Primary Path → Hard Gates → Backup → Parallel Legal</w:t>
      </w:r>
    </w:p>
    <w:p>
      <w:pPr>
        <w:pStyle w:val="FirstParagraph"/>
      </w:pPr>
      <w:r>
        <w:t xml:space="preserve">This structure ensures disciplined decision-making at each stage.</w:t>
      </w:r>
    </w:p>
    <w:bookmarkEnd w:id="8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  <w:tc>
          <w:tcPr/>
          <w:p>
            <w:pPr>
              <w:pStyle w:val="Compact"/>
            </w:pPr>
            <w:r>
              <w:t xml:space="preserve">FAIL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1: Dissolution</w:t>
            </w:r>
          </w:p>
        </w:tc>
        <w:tc>
          <w:tcPr/>
          <w:p>
            <w:pPr>
              <w:pStyle w:val="Compact"/>
            </w:pPr>
            <w:r>
              <w:t xml:space="preserve">In-vitro release profile</w:t>
            </w:r>
          </w:p>
        </w:tc>
        <w:tc>
          <w:tcPr/>
          <w:p>
            <w:pPr>
              <w:pStyle w:val="Compact"/>
            </w:pPr>
            <w:r>
              <w:t xml:space="preserve">15-25% (1h), 40-55% (4h), &gt;75% (12h)</w:t>
            </w:r>
          </w:p>
        </w:tc>
        <w:tc>
          <w:tcPr/>
          <w:p>
            <w:pPr>
              <w:pStyle w:val="Compact"/>
            </w:pPr>
            <w:r>
              <w:t xml:space="preserve">Reformulate (adjust Compritol/PEG); max 4 iterations then evaluate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2: Stability</w:t>
            </w:r>
          </w:p>
        </w:tc>
        <w:tc>
          <w:tcPr/>
          <w:p>
            <w:pPr>
              <w:pStyle w:val="Compact"/>
            </w:pPr>
            <w:r>
              <w:t xml:space="preserve">1-month accelerated (40°C/75% RH)</w:t>
            </w:r>
          </w:p>
        </w:tc>
        <w:tc>
          <w:tcPr/>
          <w:p>
            <w:pPr>
              <w:pStyle w:val="Compact"/>
            </w:pPr>
            <w:r>
              <w:t xml:space="preserve">Dissolution within ±10% of T0; Assay &gt;95%</w:t>
            </w:r>
          </w:p>
        </w:tc>
        <w:tc>
          <w:tcPr/>
          <w:p>
            <w:pPr>
              <w:pStyle w:val="Compact"/>
            </w:pPr>
            <w:r>
              <w:t xml:space="preserve">Add annealing step; if still fails, evaluate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3: Food Effect (HARD GATE)</w:t>
            </w:r>
          </w:p>
        </w:tc>
        <w:tc>
          <w:tcPr/>
          <w:p>
            <w:pPr>
              <w:pStyle w:val="Compact"/>
            </w:pPr>
            <w:r>
              <w:t xml:space="preserve">Fed vs. Fasted Cmax ratio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 Cmax ≤150% of Fasted Cmax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PIVOT TO MUPS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4: Human PK</w:t>
            </w:r>
          </w:p>
        </w:tc>
        <w:tc>
          <w:tcPr/>
          <w:p>
            <w:pPr>
              <w:pStyle w:val="Compact"/>
            </w:pPr>
            <w:r>
              <w:t xml:space="preserve">Fasted Cmax, Tmax</w:t>
            </w:r>
          </w:p>
        </w:tc>
        <w:tc>
          <w:tcPr/>
          <w:p>
            <w:pPr>
              <w:pStyle w:val="Compact"/>
            </w:pPr>
            <w:r>
              <w:t xml:space="preserve">Cmax 5-12 ng/mL; Tmax 1.5-5h</w:t>
            </w:r>
          </w:p>
        </w:tc>
        <w:tc>
          <w:tcPr/>
          <w:p>
            <w:pPr>
              <w:pStyle w:val="Compact"/>
            </w:pPr>
            <w:r>
              <w:t xml:space="preserve">Reformulate to adjust release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5: Safety</w:t>
            </w:r>
          </w:p>
        </w:tc>
        <w:tc>
          <w:tcPr/>
          <w:p>
            <w:pPr>
              <w:pStyle w:val="Compact"/>
            </w:pPr>
            <w:r>
              <w:t xml:space="preserve">Vital signs in PK study</w:t>
            </w:r>
          </w:p>
        </w:tc>
        <w:tc>
          <w:tcPr/>
          <w:p>
            <w:pPr>
              <w:pStyle w:val="Compact"/>
            </w:pPr>
            <w:r>
              <w:t xml:space="preserve">No stopping rule triggered</w:t>
            </w:r>
          </w:p>
        </w:tc>
        <w:tc>
          <w:tcPr/>
          <w:p>
            <w:pPr>
              <w:pStyle w:val="Compact"/>
            </w:pPr>
            <w:r>
              <w:t xml:space="preserve">Reduce dose; investigate cause</w:t>
            </w:r>
          </w:p>
        </w:tc>
      </w:tr>
    </w:tbl>
    <w:bookmarkStart w:id="87" w:name="gate-3-is-the-hard-gate"/>
    <w:p>
      <w:pPr>
        <w:pStyle w:val="Heading4"/>
      </w:pPr>
      <w:r>
        <w:t xml:space="preserve">Gate 3 Is the Hard Gate</w:t>
      </w:r>
    </w:p>
    <w:p>
      <w:pPr>
        <w:pStyle w:val="FirstParagraph"/>
      </w:pPr>
      <w:r>
        <w:rPr>
          <w:b/>
          <w:bCs/>
        </w:rPr>
        <w:t xml:space="preserve">Food effect is the primary technical risk for lipid matrix formulations.</w:t>
      </w:r>
      <w:r>
        <w:t xml:space="preserve"> </w:t>
      </w:r>
      <w:r>
        <w:t xml:space="preserve">If high-fat meal increases Cmax by &gt;50% vs. fasted state, the formulation is not suitable for real-world use where patients may not consistently fast.</w:t>
      </w:r>
    </w:p>
    <w:p>
      <w:pPr>
        <w:pStyle w:val="BodyText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If Gate 3 fails, do not attempt to reformulate lipid matrix. Pivot immediately to MUPS (ethylcellulose-coated pellets), which has more predictable food effect behavior.</w:t>
      </w:r>
    </w:p>
    <w:bookmarkEnd w:id="87"/>
    <w:bookmarkStart w:id="88" w:name="parallel-track-ipr-filing"/>
    <w:p>
      <w:pPr>
        <w:pStyle w:val="Heading4"/>
      </w:pPr>
      <w:r>
        <w:t xml:space="preserve">Parallel Track: IPR Filing</w:t>
      </w:r>
    </w:p>
    <w:p>
      <w:pPr>
        <w:pStyle w:val="FirstParagraph"/>
      </w:pPr>
      <w:r>
        <w:rPr>
          <w:b/>
          <w:bCs/>
        </w:rPr>
        <w:t xml:space="preserve">IPR proceeds regardless of formulation outcome.</w:t>
      </w:r>
      <w:r>
        <w:t xml:space="preserve"> </w:t>
      </w:r>
      <w:r>
        <w:t xml:space="preserve">Patent invalidity arguments apply to any ER minoxidil product, not just lipid matrix. File IPR within 6 months of starting development to maximize leverage.</w:t>
      </w:r>
    </w:p>
    <w:bookmarkEnd w:id="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prepared: February 5, 2026</w:t>
      </w:r>
    </w:p>
    <w:p>
      <w:pPr>
        <w:pStyle w:val="BodyText"/>
      </w:pPr>
      <w:r>
        <w:rPr>
          <w:i/>
          <w:iCs/>
        </w:rPr>
        <w:t xml:space="preserve">Last updated: February 5, 2026 - Added Safety Appendix and Formal Decision Gates per GPT review feedback</w: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Execution Roadmap: ER Minoxidil Development to Human Use</dc:title>
  <dc:creator/>
  <dc:language>en</dc:language>
  <cp:keywords/>
  <dcterms:created xsi:type="dcterms:W3CDTF">2026-02-05T15:57:32Z</dcterms:created>
  <dcterms:modified xsi:type="dcterms:W3CDTF">2026-02-05T15:57:32Z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