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Recommendation: Extended-Release Minoxidil Formulation</w:t>
      </w:r>
    </w:p>
    <w:bookmarkStart w:id="24" w:name="Xcf15d8003bed75afabc4896ca857d1a7e93f130"/>
    <w:p>
      <w:pPr>
        <w:pStyle w:val="Heading1"/>
      </w:pPr>
      <w:r>
        <w:t xml:space="preserve">Final Recommendation: Extended-Release Minoxidil Formulation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5, 2026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Which formulation to pursue first for competitive ER minoxidil product</w:t>
      </w:r>
    </w:p>
    <w:bookmarkStart w:id="9" w:name="final-verdict-lipid-matrix"/>
    <w:p>
      <w:pPr>
        <w:pStyle w:val="Heading2"/>
      </w:pPr>
      <w:r>
        <w:t xml:space="preserve">FINAL VERDICT: LIPID MATRIX</w:t>
      </w:r>
    </w:p>
    <w:p>
      <w:pPr>
        <w:pStyle w:val="FirstParagraph"/>
      </w:pPr>
      <w:r>
        <w:t xml:space="preserve">Strongest patent defense + Simplest manufacturing + Lowest cost</w:t>
      </w:r>
    </w:p>
    <w:bookmarkEnd w:id="9"/>
    <w:p>
      <w:r>
        <w:pict>
          <v:rect style="width:0;height:1.5pt" o:hralign="center" o:hrstd="t" o:hr="t"/>
        </w:pict>
      </w:r>
    </w:p>
    <w:bookmarkStart w:id="10" w:name="head-to-head-comparison"/>
    <w:p>
      <w:pPr>
        <w:pStyle w:val="Heading2"/>
      </w:pPr>
      <w:r>
        <w:t xml:space="preserve">Head-to-Head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MUPS</w:t>
            </w:r>
          </w:p>
        </w:tc>
        <w:tc>
          <w:tcPr/>
          <w:p>
            <w:pPr>
              <w:pStyle w:val="Compact"/>
            </w:pPr>
            <w:r>
              <w:t xml:space="preserve">Lipid Matrix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 Defense</w:t>
            </w:r>
          </w:p>
        </w:tc>
        <w:tc>
          <w:tcPr/>
          <w:p>
            <w:pPr>
              <w:pStyle w:val="Compact"/>
            </w:pPr>
            <w:r>
              <w:t xml:space="preserve">Medium - ethylcellulose is still a cellulose derivative</w:t>
            </w:r>
          </w:p>
        </w:tc>
        <w:tc>
          <w:tcPr/>
          <w:p>
            <w:pPr>
              <w:pStyle w:val="Compact"/>
            </w:pPr>
            <w:r>
              <w:t xml:space="preserve">Strongest - lipids are a completely different chemical class</w:t>
            </w:r>
          </w:p>
        </w:tc>
        <w:tc>
          <w:tcPr/>
          <w:p>
            <w:pPr>
              <w:pStyle w:val="Compact"/>
            </w:pPr>
            <w:r>
              <w:t xml:space="preserve">Lipid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Invalidity Defense</w:t>
            </w:r>
          </w:p>
        </w:tc>
        <w:tc>
          <w:tcPr/>
          <w:p>
            <w:pPr>
              <w:pStyle w:val="Compact"/>
            </w:pPr>
            <w:r>
              <w:t xml:space="preserve">Strong (IR minoxidil PK overlaps claims)</w:t>
            </w:r>
          </w:p>
        </w:tc>
        <w:tc>
          <w:tcPr/>
          <w:p>
            <w:pPr>
              <w:pStyle w:val="Compact"/>
            </w:pPr>
            <w:r>
              <w:t xml:space="preserve">Strong (IR minoxidil PK overlaps claims)</w:t>
            </w:r>
          </w:p>
        </w:tc>
        <w:tc>
          <w:tcPr/>
          <w:p>
            <w:pPr>
              <w:pStyle w:val="Compac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 Predictability</w:t>
            </w:r>
          </w:p>
        </w:tc>
        <w:tc>
          <w:tcPr/>
          <w:p>
            <w:pPr>
              <w:pStyle w:val="Compact"/>
            </w:pPr>
            <w:r>
              <w:t xml:space="preserve">85% - well-characterized coating systems</w:t>
            </w:r>
          </w:p>
        </w:tc>
        <w:tc>
          <w:tcPr/>
          <w:p>
            <w:pPr>
              <w:pStyle w:val="Compact"/>
            </w:pPr>
            <w:r>
              <w:t xml:space="preserve">60% - food effect may cause variability</w:t>
            </w:r>
          </w:p>
        </w:tc>
        <w:tc>
          <w:tcPr/>
          <w:p>
            <w:pPr>
              <w:pStyle w:val="Compact"/>
            </w:pPr>
            <w:r>
              <w:t xml:space="preserve">MUPS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Manufacturing</w:t>
            </w:r>
          </w:p>
        </w:tc>
        <w:tc>
          <w:tcPr/>
          <w:p>
            <w:pPr>
              <w:pStyle w:val="Compact"/>
            </w:pPr>
            <w:r>
              <w:t xml:space="preserve">Medium - requires Wurster coating equipment</w:t>
            </w:r>
          </w:p>
        </w:tc>
        <w:tc>
          <w:tcPr/>
          <w:p>
            <w:pPr>
              <w:pStyle w:val="Compact"/>
            </w:pPr>
            <w:r>
              <w:t xml:space="preserve">Simple - melt granulation, standard equipment</w:t>
            </w:r>
          </w:p>
        </w:tc>
        <w:tc>
          <w:tcPr/>
          <w:p>
            <w:pPr>
              <w:pStyle w:val="Compact"/>
            </w:pPr>
            <w:r>
              <w:t xml:space="preserve">Lipid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Lower (simpler process, cheaper excipients)</w:t>
            </w:r>
          </w:p>
        </w:tc>
        <w:tc>
          <w:tcPr/>
          <w:p>
            <w:pPr>
              <w:pStyle w:val="Compact"/>
            </w:pPr>
            <w:r>
              <w:t xml:space="preserve">Lipid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Precedent</w:t>
            </w:r>
          </w:p>
        </w:tc>
        <w:tc>
          <w:tcPr/>
          <w:p>
            <w:pPr>
              <w:pStyle w:val="Compact"/>
            </w:pPr>
            <w:r>
              <w:t xml:space="preserve">More common for ER generics</w:t>
            </w:r>
          </w:p>
        </w:tc>
        <w:tc>
          <w:tcPr/>
          <w:p>
            <w:pPr>
              <w:pStyle w:val="Compact"/>
            </w:pPr>
            <w:r>
              <w:t xml:space="preserve">Established but less common</w:t>
            </w:r>
          </w:p>
        </w:tc>
        <w:tc>
          <w:tcPr/>
          <w:p>
            <w:pPr>
              <w:pStyle w:val="Compact"/>
            </w:pPr>
            <w:r>
              <w:t xml:space="preserve">Slight edge MUPS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LIPID MATRIX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why-lipid-matrix-wins"/>
    <w:p>
      <w:pPr>
        <w:pStyle w:val="Heading2"/>
      </w:pPr>
      <w:r>
        <w:t xml:space="preserve">Why Lipid Matrix Wins</w:t>
      </w:r>
    </w:p>
    <w:bookmarkStart w:id="11" w:name="strongest-patent-position"/>
    <w:p>
      <w:pPr>
        <w:pStyle w:val="Heading3"/>
      </w:pPr>
      <w:r>
        <w:t xml:space="preserve">1. Strongest Patent Position</w:t>
      </w:r>
    </w:p>
    <w:p>
      <w:pPr>
        <w:pStyle w:val="Compact"/>
        <w:numPr>
          <w:ilvl w:val="0"/>
          <w:numId w:val="1001"/>
        </w:numPr>
      </w:pPr>
      <w:r>
        <w:t xml:space="preserve">Lipids (Compritol/Precirol) are</w:t>
      </w:r>
      <w:r>
        <w:t xml:space="preserve"> </w:t>
      </w:r>
      <w:r>
        <w:rPr>
          <w:b/>
          <w:bCs/>
        </w:rPr>
        <w:t xml:space="preserve">NOT cellulose derivatives</w:t>
      </w:r>
      <w:r>
        <w:t xml:space="preserve"> </w:t>
      </w:r>
      <w:r>
        <w:t xml:space="preserve">- completely different chemistry</w:t>
      </w:r>
    </w:p>
    <w:p>
      <w:pPr>
        <w:pStyle w:val="Compact"/>
        <w:numPr>
          <w:ilvl w:val="0"/>
          <w:numId w:val="1001"/>
        </w:numPr>
      </w:pPr>
      <w:r>
        <w:t xml:space="preserve">HPMC and ethylcellulose are both cellulose-based - a patent litigator could argue they're in the same family</w:t>
      </w:r>
    </w:p>
    <w:p>
      <w:pPr>
        <w:pStyle w:val="Compact"/>
        <w:numPr>
          <w:ilvl w:val="0"/>
          <w:numId w:val="1001"/>
        </w:numPr>
      </w:pPr>
      <w:r>
        <w:t xml:space="preserve">Lipids are</w:t>
      </w:r>
      <w:r>
        <w:t xml:space="preserve"> </w:t>
      </w:r>
      <w:r>
        <w:rPr>
          <w:b/>
          <w:bCs/>
        </w:rPr>
        <w:t xml:space="preserve">NEVER mentioned</w:t>
      </w:r>
      <w:r>
        <w:t xml:space="preserve"> </w:t>
      </w:r>
      <w:r>
        <w:t xml:space="preserve">in Veradermics' patent specification</w:t>
      </w:r>
    </w:p>
    <w:p>
      <w:pPr>
        <w:pStyle w:val="Compact"/>
        <w:numPr>
          <w:ilvl w:val="0"/>
          <w:numId w:val="1001"/>
        </w:numPr>
      </w:pPr>
      <w:r>
        <w:t xml:space="preserve">Release mechanism (lipid erosion) is fundamentally different from gel diffusion</w:t>
      </w:r>
    </w:p>
    <w:bookmarkEnd w:id="11"/>
    <w:bookmarkStart w:id="12" w:name="two-layers-of-defense"/>
    <w:p>
      <w:pPr>
        <w:pStyle w:val="Heading3"/>
      </w:pPr>
      <w:r>
        <w:t xml:space="preserve">2. Two Layers of Defense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Defense Layer</w:t>
            </w:r>
          </w:p>
        </w:tc>
        <w:tc>
          <w:tcPr/>
          <w:p>
            <w:pPr>
              <w:pStyle w:val="Compact"/>
            </w:pPr>
            <w:r>
              <w:t xml:space="preserve">Argument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Non-Infringement</w:t>
            </w:r>
          </w:p>
        </w:tc>
        <w:tc>
          <w:tcPr/>
          <w:p>
            <w:pPr>
              <w:pStyle w:val="Compact"/>
            </w:pPr>
            <w:r>
              <w:t xml:space="preserve">Lipids are not "release modifiers" as defined in the patent specification. Different chemical class, different mechanism.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Invalidity</w:t>
            </w:r>
          </w:p>
        </w:tc>
        <w:tc>
          <w:tcPr/>
          <w:p>
            <w:pPr>
              <w:pStyle w:val="Compact"/>
            </w:pPr>
            <w:r>
              <w:t xml:space="preserve">Immediate-release minoxidil already achieves the claimed PK parameters (Cmax 0.25-20 ng/mL, Tmax 30-360 min). Claims may be anticipated by prior art.</w:t>
            </w:r>
          </w:p>
        </w:tc>
      </w:tr>
    </w:tbl>
    <w:bookmarkEnd w:id="12"/>
    <w:bookmarkStart w:id="13" w:name="simpler-path-to-market"/>
    <w:p>
      <w:pPr>
        <w:pStyle w:val="Heading3"/>
      </w:pPr>
      <w:r>
        <w:t xml:space="preserve">3. Simpler Path to Market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Melt granulation</w:t>
      </w:r>
      <w:r>
        <w:t xml:space="preserve"> </w:t>
      </w:r>
      <w:r>
        <w:t xml:space="preserve">is straightforward - no specialized coating equipment needed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Lower manufacturing costs</w:t>
      </w:r>
      <w:r>
        <w:t xml:space="preserve"> </w:t>
      </w:r>
      <w:r>
        <w:t xml:space="preserve">= better margins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Faster scale-up</w:t>
      </w:r>
      <w:r>
        <w:t xml:space="preserve"> </w:t>
      </w:r>
      <w:r>
        <w:t xml:space="preserve">from lab to commercial production</w:t>
      </w:r>
    </w:p>
    <w:p>
      <w:pPr>
        <w:pStyle w:val="Compact"/>
        <w:numPr>
          <w:ilvl w:val="0"/>
          <w:numId w:val="1002"/>
        </w:numPr>
      </w:pPr>
      <w:r>
        <w:t xml:space="preserve">Compritol and Precirol are well-characterized, readily available excipients</w:t>
      </w:r>
    </w:p>
    <w:bookmarkEnd w:id="13"/>
    <w:bookmarkStart w:id="14" w:name="the-food-effect-is-manageable"/>
    <w:p>
      <w:pPr>
        <w:pStyle w:val="Heading3"/>
      </w:pPr>
      <w:r>
        <w:t xml:space="preserve">4. The Food Effect is Manageable</w:t>
      </w:r>
    </w:p>
    <w:p>
      <w:pPr>
        <w:pStyle w:val="FirstParagraph"/>
      </w:pPr>
      <w:r>
        <w:t xml:space="preserve">Yes, there may be PK variability with high-fat meals. But this is a</w:t>
      </w:r>
      <w:r>
        <w:t xml:space="preserve"> </w:t>
      </w:r>
      <w:r>
        <w:rPr>
          <w:b/>
          <w:bCs/>
        </w:rPr>
        <w:t xml:space="preserve">known variable</w:t>
      </w:r>
      <w:r>
        <w:t xml:space="preserve"> </w:t>
      </w:r>
      <w:r>
        <w:t xml:space="preserve">you can design around:</w:t>
      </w:r>
    </w:p>
    <w:p>
      <w:pPr>
        <w:pStyle w:val="Compact"/>
        <w:numPr>
          <w:ilvl w:val="0"/>
          <w:numId w:val="1003"/>
        </w:numPr>
      </w:pPr>
      <w:r>
        <w:t xml:space="preserve">Label as "take on empty stomach" or "take consistently with/without food"</w:t>
      </w:r>
    </w:p>
    <w:p>
      <w:pPr>
        <w:pStyle w:val="Compact"/>
        <w:numPr>
          <w:ilvl w:val="0"/>
          <w:numId w:val="1003"/>
        </w:numPr>
      </w:pPr>
      <w:r>
        <w:t xml:space="preserve">Conduct fed/fasted PK study early to characterize the effect</w:t>
      </w:r>
    </w:p>
    <w:p>
      <w:pPr>
        <w:pStyle w:val="Compact"/>
        <w:numPr>
          <w:ilvl w:val="0"/>
          <w:numId w:val="1003"/>
        </w:numPr>
      </w:pPr>
      <w:r>
        <w:t xml:space="preserve">Adjust lipid composition (more Compritol = slower erosion) if needed</w:t>
      </w:r>
    </w:p>
    <w:p>
      <w:pPr>
        <w:pStyle w:val="Compact"/>
        <w:numPr>
          <w:ilvl w:val="0"/>
          <w:numId w:val="1003"/>
        </w:numPr>
      </w:pPr>
      <w:r>
        <w:t xml:space="preserve">Many approved products have food effect labeling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he-one-caveat"/>
    <w:p>
      <w:pPr>
        <w:pStyle w:val="Heading2"/>
      </w:pPr>
      <w:r>
        <w:t xml:space="preserve">The One Caveat</w:t>
      </w:r>
    </w:p>
    <w:p>
      <w:pPr>
        <w:pStyle w:val="FirstParagraph"/>
      </w:pPr>
      <w:r>
        <w:t xml:space="preserve">If you need</w:t>
      </w:r>
      <w:r>
        <w:t xml:space="preserve"> </w:t>
      </w:r>
      <w:r>
        <w:rPr>
          <w:b/>
          <w:bCs/>
        </w:rPr>
        <w:t xml:space="preserve">highly predictable PK</w:t>
      </w:r>
      <w:r>
        <w:t xml:space="preserve"> </w:t>
      </w:r>
      <w:r>
        <w:t xml:space="preserve">(e.g., for a pivotal bioequivalence study against Veradermics), MUPS gives you more control over the release profile through coating thickness adjustments.</w:t>
      </w:r>
    </w:p>
    <w:p>
      <w:pPr>
        <w:pStyle w:val="BodyText"/>
      </w:pPr>
      <w:r>
        <w:t xml:space="preserve">However, for a</w:t>
      </w:r>
      <w:r>
        <w:t xml:space="preserve"> </w:t>
      </w:r>
      <w:r>
        <w:rPr>
          <w:b/>
          <w:bCs/>
        </w:rPr>
        <w:t xml:space="preserve">first-in-human proof-of-concept</w:t>
      </w:r>
      <w:r>
        <w:t xml:space="preserve">, Lipid Matrix gets you there faster and cheaper with better IP protection.</w:t>
      </w:r>
    </w:p>
    <w:p>
      <w:r>
        <w:pict>
          <v:rect style="width:0;height:1.5pt" o:hralign="center" o:hrstd="t" o:hr="t"/>
        </w:pict>
      </w:r>
    </w:p>
    <w:bookmarkEnd w:id="16"/>
    <w:bookmarkStart w:id="18" w:name="recommended-action-plan"/>
    <w:p>
      <w:pPr>
        <w:pStyle w:val="Heading2"/>
      </w:pPr>
      <w:r>
        <w:t xml:space="preserve">Recommended Action Plan</w:t>
      </w:r>
    </w:p>
    <w:bookmarkStart w:id="17" w:name="start-with-lipid-matrix-but"/>
    <w:p>
      <w:pPr>
        <w:pStyle w:val="Heading3"/>
      </w:pPr>
      <w:r>
        <w:t xml:space="preserve">Start with Lipid Matrix, but: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 a fed/fasted PK study early</w:t>
      </w:r>
      <w:r>
        <w:t xml:space="preserve"> </w:t>
      </w:r>
      <w:r>
        <w:t xml:space="preserve">(even in dogs first) to characterize the food effect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If food effect is unacceptable</w:t>
      </w:r>
      <w:r>
        <w:t xml:space="preserve">, pivot to MUPS as backup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 an IPR against Veradermics' patent</w:t>
      </w:r>
      <w:r>
        <w:t xml:space="preserve"> </w:t>
      </w:r>
      <w:r>
        <w:t xml:space="preserve">based on the invalidity argument - this protects you regardless of which formulation you choose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 everything</w:t>
      </w:r>
      <w:r>
        <w:t xml:space="preserve"> </w:t>
      </w:r>
      <w:r>
        <w:t xml:space="preserve">for patent defense purposes</w:t>
      </w:r>
    </w:p>
    <w:bookmarkEnd w:id="17"/>
    <w:p>
      <w:r>
        <w:pict>
          <v:rect style="width:0;height:1.5pt" o:hralign="center" o:hrstd="t" o:hr="t"/>
        </w:pict>
      </w:r>
    </w:p>
    <w:bookmarkEnd w:id="18"/>
    <w:bookmarkStart w:id="19" w:name="Xe47db915c2ff8839de56729c7d1e5adb851bcef"/>
    <w:p>
      <w:pPr>
        <w:pStyle w:val="Heading2"/>
      </w:pPr>
      <w:r>
        <w:t xml:space="preserve">Lipid Matrix Formulation Summary (Optimized for Veradermics-Matching PK)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 (mg)</w:t>
            </w:r>
          </w:p>
        </w:tc>
        <w:tc>
          <w:tcPr/>
          <w:p>
            <w:pPr>
              <w:pStyle w:val="Compact"/>
            </w:pPr>
            <w:r>
              <w:t xml:space="preserve">% w/w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Minoxidil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Active ingredient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Compritol 888 ATO (glyceryl behenate)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Lipid matrix former (increased for lower Cmax)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Precirol ATO 5 (glyceryl palmitostearate)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Secondary lipid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6000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Pore former (ensures complete 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Microcrystalline cellulose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22.0%</w:t>
            </w:r>
          </w:p>
        </w:tc>
        <w:tc>
          <w:tcPr/>
          <w:p>
            <w:pPr>
              <w:pStyle w:val="Compact"/>
            </w:pPr>
            <w:r>
              <w:t xml:space="preserve">Filler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Lactose monohydrate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  <w:tc>
          <w:tcPr/>
          <w:p>
            <w:pPr>
              <w:pStyle w:val="Compact"/>
            </w:pPr>
            <w:r>
              <w:t xml:space="preserve">Filler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Poloxamer 188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Surfactant (wetting)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Colloidal silicon dioxide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Glidant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Magnesium stearate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Lubricant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tablet weight</w:t>
            </w:r>
          </w:p>
        </w:tc>
        <w:tc>
          <w:tcPr/>
          <w:p>
            <w:pPr>
              <w:pStyle w:val="Compact"/>
            </w:pPr>
            <w:r>
              <w:t xml:space="preserve">250.0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Dosing:</w:t>
      </w:r>
      <w:r>
        <w:t xml:space="preserve"> </w:t>
      </w:r>
      <w:r>
        <w:t xml:space="preserve">8.5 mg twice daily (q12h) - 17 mg total daily dose</w:t>
      </w:r>
    </w:p>
    <w:p>
      <w:pPr>
        <w:pStyle w:val="BodyText"/>
      </w:pPr>
      <w:r>
        <w:rPr>
          <w:b/>
          <w:bCs/>
        </w:rPr>
        <w:t xml:space="preserve">Target PK:</w:t>
      </w:r>
      <w:r>
        <w:t xml:space="preserve"> </w:t>
      </w:r>
      <w:r>
        <w:t xml:space="preserve">Cmax 6-10 ng/mL (matching Veradermics ~7-8 ng/mL); maintain &gt;1.62 ng/mL for 10-12h</w:t>
      </w:r>
    </w:p>
    <w:p>
      <w:r>
        <w:pict>
          <v:rect style="width:0;height:1.5pt" o:hralign="center" o:hrstd="t" o:hr="t"/>
        </w:pict>
      </w:r>
    </w:p>
    <w:bookmarkEnd w:id="19"/>
    <w:bookmarkStart w:id="20" w:name="X4cc4e264606df2851463827d4caea481665763e"/>
    <w:p>
      <w:pPr>
        <w:pStyle w:val="Heading2"/>
      </w:pPr>
      <w:r>
        <w:t xml:space="preserve">Bottom Line: Structured Decision Framework</w:t>
      </w:r>
    </w:p>
    <w:bookmarkEnd w:id="20"/>
    <w:bookmarkStart w:id="21" w:name="development-strategy"/>
    <w:p>
      <w:pPr>
        <w:pStyle w:val="Heading2"/>
      </w:pPr>
      <w:r>
        <w:t xml:space="preserve">DEVELOPMENT STRATEGY</w:t>
      </w:r>
    </w:p>
    <w:bookmarkEnd w:id="21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Lipid Matrix</w:t>
            </w:r>
            <w:r>
              <w:t xml:space="preserve"> </w:t>
            </w:r>
            <w:r>
              <w:t xml:space="preserve">— Fastest to PK data + strongest patent differentiation story. Proceed with melt granulation formulation using Compritol/Precirol.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Food Effect Test:</w:t>
            </w:r>
            <w:r>
              <w:t xml:space="preserve"> </w:t>
            </w:r>
            <w:r>
              <w:t xml:space="preserve">If fed Cmax &gt;150% of fasted Cmax → formulation fails. This is non-negotiable.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MUPS (Ethylcellulose-coated pellets)</w:t>
            </w:r>
            <w:r>
              <w:t xml:space="preserve"> </w:t>
            </w:r>
            <w:r>
              <w:t xml:space="preserve">— If lipid matrix fails food effect gate, pivot to MUPS. More predictable PK but weaker patent position.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 TRACK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IPR Filing</w:t>
            </w:r>
            <w:r>
              <w:t xml:space="preserve"> </w:t>
            </w:r>
            <w:r>
              <w:t xml:space="preserve">— File Inter Partes Review against Veradermics patent regardless of formulation choice. Invalidity arguments apply to any ER minoxidil.</w:t>
            </w:r>
          </w:p>
        </w:tc>
      </w:tr>
    </w:tbl>
    <w:bookmarkStart w:id="22" w:name="pk-target-clarification"/>
    <w:p>
      <w:pPr>
        <w:pStyle w:val="Heading3"/>
      </w:pPr>
      <w:r>
        <w:t xml:space="preserve">PK Target Clarification</w:t>
      </w:r>
    </w:p>
    <w:p>
      <w:pPr>
        <w:pStyle w:val="FirstParagraph"/>
      </w:pPr>
      <w:r>
        <w:rPr>
          <w:b/>
          <w:bCs/>
        </w:rPr>
        <w:t xml:space="preserve">Commercial target:</w:t>
      </w:r>
      <w:r>
        <w:t xml:space="preserve"> </w:t>
      </w:r>
      <w:r>
        <w:t xml:space="preserve">Cmax 6-10 ng/mL — comparable to Veradermics (~7-8 ng/mL) for competitive positioning.</w:t>
      </w:r>
    </w:p>
    <w:p>
      <w:pPr>
        <w:pStyle w:val="BodyText"/>
      </w:pPr>
      <w:r>
        <w:rPr>
          <w:b/>
          <w:bCs/>
        </w:rPr>
        <w:t xml:space="preserve">Clinical target:</w:t>
      </w:r>
      <w:r>
        <w:t xml:space="preserve"> </w:t>
      </w:r>
      <w:r>
        <w:t xml:space="preserve">Minimize AE-linked Cmax spikes while maintaining exposure above hair growth threshold (1.62 ng/mL) for ≥8 hours. We are not claiming Veradermics' PK is optimal—only that we want commercial comparability while potentially offering better tolerability through formulation optimization.</w:t>
      </w:r>
    </w:p>
    <w:bookmarkEnd w:id="22"/>
    <w:bookmarkStart w:id="23" w:name="why-this-structure-works"/>
    <w:p>
      <w:pPr>
        <w:pStyle w:val="Heading3"/>
      </w:pPr>
      <w:r>
        <w:t xml:space="preserve">Why This Structure Works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Disciplined:</w:t>
      </w:r>
      <w:r>
        <w:t xml:space="preserve"> </w:t>
      </w:r>
      <w:r>
        <w:t xml:space="preserve">Clear gates prevent wasting resources on a failing approach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De-risked:</w:t>
      </w:r>
      <w:r>
        <w:t xml:space="preserve"> </w:t>
      </w:r>
      <w:r>
        <w:t xml:space="preserve">MUPS backup means food effect failure doesn't kill the project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Parallel legal action:</w:t>
      </w:r>
      <w:r>
        <w:t xml:space="preserve"> </w:t>
      </w:r>
      <w:r>
        <w:t xml:space="preserve">IPR protects us regardless of which formulation succeeds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Capital efficient:</w:t>
      </w:r>
      <w:r>
        <w:t xml:space="preserve"> </w:t>
      </w:r>
      <w:r>
        <w:t xml:space="preserve">Primary path is lowest cost; backup only activated if needed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Lipid Matrix = Best patent defense + Simplest manufacturing + Lowest cost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Food effect is a gated risk with explicit pivot criteria.</w:t>
      </w:r>
      <w:r>
        <w:br/>
      </w:r>
      <w:r>
        <w:t xml:space="preserve">MUPS backup ensures project continuity if gate fails.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START WITH LIPID MATRIX → GATE ON FOOD EFFECT → BACKUP TO MUPS IF NEEDED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recommendation is based on technical and patent analysis. Consult with regulatory, legal, and pharmaceutical development experts before proceeding.</w:t>
      </w:r>
    </w:p>
    <w:p>
      <w:pPr>
        <w:pStyle w:val="BodyText"/>
      </w:pPr>
      <w:r>
        <w:rPr>
          <w:i/>
          <w:iCs/>
        </w:rPr>
        <w:t xml:space="preserve">Document prepared: February 5, 2026</w:t>
      </w:r>
    </w:p>
    <w:p>
      <w:pPr>
        <w:pStyle w:val="BodyText"/>
      </w:pPr>
      <w:r>
        <w:rPr>
          <w:i/>
          <w:iCs/>
        </w:rPr>
        <w:t xml:space="preserve">Last updated: February 5, 2026 - Restructured verdict with formal decision gates per review feedback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Recommendation: Extended-Release Minoxidil Formulation</dc:title>
  <dc:creator/>
  <dc:language>en</dc:language>
  <cp:keywords/>
  <dcterms:created xsi:type="dcterms:W3CDTF">2026-02-05T15:57:32Z</dcterms:created>
  <dcterms:modified xsi:type="dcterms:W3CDTF">2026-02-05T15:57:32Z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