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Extended-Release Minoxidil Project Overview</w:t>
      </w:r>
    </w:p>
    <w:bookmarkStart w:id="39" w:name="extended-release-minoxidil"/>
    <w:p>
      <w:pPr>
        <w:pStyle w:val="Heading1"/>
      </w:pPr>
      <w:r>
        <w:t xml:space="preserve">Extended-Release Minoxidil</w:t>
      </w:r>
    </w:p>
    <w:p>
      <w:pPr>
        <w:pStyle w:val="FirstParagraph"/>
      </w:pPr>
      <w:r>
        <w:t xml:space="preserve">Lipid Matrix Formulation for Hair Loss Treatment</w:t>
      </w:r>
    </w:p>
    <w:bookmarkStart w:id="9" w:name="the-opportunity"/>
    <w:p>
      <w:pPr>
        <w:pStyle w:val="Heading2"/>
      </w:pPr>
      <w:r>
        <w:t xml:space="preserve">The Opportunity</w:t>
      </w:r>
    </w:p>
    <w:p>
      <w:pPr>
        <w:pStyle w:val="FirstParagraph"/>
      </w:pPr>
      <w:r>
        <w:t xml:space="preserve">Develop a</w:t>
      </w:r>
      <w:r>
        <w:t xml:space="preserve"> </w:t>
      </w:r>
      <w:r>
        <w:rPr>
          <w:b/>
          <w:bCs/>
        </w:rPr>
        <w:t xml:space="preserve">lipid matrix extended-release oral minoxidil</w:t>
      </w:r>
      <w:r>
        <w:t xml:space="preserve"> </w:t>
      </w:r>
      <w:r>
        <w:t xml:space="preserve">product using 503A/503B compounding pharmacy pathway. Our formulation uses a fundamentally different technology than Veradermics' patented HPMC gel matrix, providing strong freedom-to-operate while offering patients an effective, safer alternative to immediate-release minoxidil.</w:t>
      </w:r>
    </w:p>
    <w:p>
      <w:pPr>
        <w:pStyle w:val="BodyText"/>
      </w:pPr>
      <w:r>
        <w:t xml:space="preserve">8.5 mg</w:t>
      </w:r>
    </w:p>
    <w:p>
      <w:pPr>
        <w:pStyle w:val="BodyText"/>
      </w:pPr>
      <w:r>
        <w:t xml:space="preserve">Dose (BID)</w:t>
      </w:r>
    </w:p>
    <w:p>
      <w:pPr>
        <w:pStyle w:val="BodyText"/>
      </w:pPr>
      <w:r>
        <w:t xml:space="preserve">6-10 ng/mL</w:t>
      </w:r>
    </w:p>
    <w:p>
      <w:pPr>
        <w:pStyle w:val="BodyText"/>
      </w:pPr>
      <w:r>
        <w:t xml:space="preserve">Target Cmax</w:t>
      </w:r>
    </w:p>
    <w:p>
      <w:pPr>
        <w:pStyle w:val="BodyText"/>
      </w:pPr>
      <w:r>
        <w:t xml:space="preserve">$8-21K</w:t>
      </w:r>
    </w:p>
    <w:p>
      <w:pPr>
        <w:pStyle w:val="BodyText"/>
      </w:pPr>
      <w:r>
        <w:t xml:space="preserve">Dev. Cost (no animal)</w:t>
      </w:r>
    </w:p>
    <w:p>
      <w:pPr>
        <w:pStyle w:val="BodyText"/>
      </w:pPr>
      <w:r>
        <w:t xml:space="preserve">8-10 weeks</w:t>
      </w:r>
    </w:p>
    <w:p>
      <w:pPr>
        <w:pStyle w:val="BodyText"/>
      </w:pPr>
      <w:r>
        <w:t xml:space="preserve">To First Patient</w:t>
      </w:r>
    </w:p>
    <w:bookmarkEnd w:id="9"/>
    <w:bookmarkStart w:id="10" w:name="document-contents"/>
    <w:p>
      <w:pPr>
        <w:pStyle w:val="Heading3"/>
      </w:pPr>
      <w:r>
        <w:t xml:space="preserve">Document Contents</w:t>
      </w:r>
    </w:p>
    <w:p>
      <w:pPr>
        <w:pStyle w:val="Compact"/>
        <w:numPr>
          <w:ilvl w:val="0"/>
          <w:numId w:val="1001"/>
        </w:numPr>
      </w:pPr>
      <w:hyperlink w:anchor="why">
        <w:r>
          <w:rPr>
            <w:rStyle w:val="Hyperlink"/>
          </w:rPr>
          <w:t xml:space="preserve">Why This Works</w:t>
        </w:r>
      </w:hyperlink>
    </w:p>
    <w:p>
      <w:pPr>
        <w:pStyle w:val="Compact"/>
        <w:numPr>
          <w:ilvl w:val="0"/>
          <w:numId w:val="1001"/>
        </w:numPr>
      </w:pPr>
      <w:hyperlink w:anchor="tech">
        <w:r>
          <w:rPr>
            <w:rStyle w:val="Hyperlink"/>
          </w:rPr>
          <w:t xml:space="preserve">Technical Approach</w:t>
        </w:r>
      </w:hyperlink>
    </w:p>
    <w:p>
      <w:pPr>
        <w:pStyle w:val="Compact"/>
        <w:numPr>
          <w:ilvl w:val="0"/>
          <w:numId w:val="1001"/>
        </w:numPr>
      </w:pPr>
      <w:hyperlink w:anchor="legal">
        <w:r>
          <w:rPr>
            <w:rStyle w:val="Hyperlink"/>
          </w:rPr>
          <w:t xml:space="preserve">Legal Strategy</w:t>
        </w:r>
      </w:hyperlink>
    </w:p>
    <w:p>
      <w:pPr>
        <w:pStyle w:val="Compact"/>
        <w:numPr>
          <w:ilvl w:val="0"/>
          <w:numId w:val="1001"/>
        </w:numPr>
      </w:pPr>
      <w:hyperlink w:anchor="roadmap">
        <w:r>
          <w:rPr>
            <w:rStyle w:val="Hyperlink"/>
          </w:rPr>
          <w:t xml:space="preserve">Execution Roadmap</w:t>
        </w:r>
      </w:hyperlink>
    </w:p>
    <w:p>
      <w:pPr>
        <w:pStyle w:val="Compact"/>
        <w:numPr>
          <w:ilvl w:val="0"/>
          <w:numId w:val="1001"/>
        </w:numPr>
      </w:pPr>
      <w:hyperlink w:anchor="costs">
        <w:r>
          <w:rPr>
            <w:rStyle w:val="Hyperlink"/>
          </w:rPr>
          <w:t xml:space="preserve">Costs &amp; Budget</w:t>
        </w:r>
      </w:hyperlink>
    </w:p>
    <w:p>
      <w:pPr>
        <w:pStyle w:val="Compact"/>
        <w:numPr>
          <w:ilvl w:val="0"/>
          <w:numId w:val="1001"/>
        </w:numPr>
      </w:pPr>
      <w:hyperlink w:anchor="docs">
        <w:r>
          <w:rPr>
            <w:rStyle w:val="Hyperlink"/>
          </w:rPr>
          <w:t xml:space="preserve">Detailed Documents</w:t>
        </w:r>
      </w:hyperlink>
    </w:p>
    <w:bookmarkEnd w:id="10"/>
    <w:p>
      <w:r>
        <w:pict>
          <v:rect style="width:0;height:1.5pt" o:hralign="center" o:hrstd="t" o:hr="t"/>
        </w:pict>
      </w:r>
    </w:p>
    <w:bookmarkStart w:id="14" w:name="why"/>
    <w:p>
      <w:pPr>
        <w:pStyle w:val="Heading2"/>
      </w:pPr>
      <w:r>
        <w:t xml:space="preserve">1. Why This Works</w:t>
      </w:r>
    </w:p>
    <w:bookmarkStart w:id="11" w:name="the-clinical-opportunity"/>
    <w:p>
      <w:pPr>
        <w:pStyle w:val="Heading3"/>
      </w:pPr>
      <w:r>
        <w:t xml:space="preserve">The Clinical Opportunity</w:t>
      </w:r>
    </w:p>
    <w:p>
      <w:pPr>
        <w:pStyle w:val="FirstParagraph"/>
      </w:pPr>
      <w:r>
        <w:t xml:space="preserve">Oral minoxidil for hair loss is already proven effective: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Patients</w:t>
            </w:r>
          </w:p>
        </w:tc>
        <w:tc>
          <w:tcPr/>
          <w:p>
            <w:pPr>
              <w:pStyle w:val="Compact"/>
            </w:pPr>
            <w:r>
              <w:t xml:space="preserve">Response Rate</w:t>
            </w:r>
          </w:p>
        </w:tc>
        <w:tc>
          <w:tcPr/>
          <w:p>
            <w:pPr>
              <w:pStyle w:val="Compact"/>
            </w:pPr>
            <w:r>
              <w:t xml:space="preserve">Safety</w:t>
            </w:r>
          </w:p>
        </w:tc>
      </w:tr>
      <w:tr>
        <w:tc>
          <w:tcPr/>
          <w:p>
            <w:pPr>
              <w:pStyle w:val="Compact"/>
            </w:pPr>
            <w:r>
              <w:t xml:space="preserve">Vano-Galvan 2021</w:t>
            </w:r>
          </w:p>
        </w:tc>
        <w:tc>
          <w:tcPr/>
          <w:p>
            <w:pPr>
              <w:pStyle w:val="Compact"/>
            </w:pPr>
            <w:r>
              <w:t xml:space="preserve">1,404</w:t>
            </w:r>
          </w:p>
        </w:tc>
        <w:tc>
          <w:tcPr/>
          <w:p>
            <w:pPr>
              <w:pStyle w:val="Compact"/>
            </w:pPr>
            <w:r>
              <w:t xml:space="preserve">98.3% continued treatment</w:t>
            </w:r>
          </w:p>
        </w:tc>
        <w:tc>
          <w:tcPr/>
          <w:p>
            <w:pPr>
              <w:pStyle w:val="Compact"/>
            </w:pPr>
            <w:r>
              <w:t xml:space="preserve">No serious adverse events</w:t>
            </w:r>
          </w:p>
        </w:tc>
      </w:tr>
      <w:tr>
        <w:tc>
          <w:tcPr/>
          <w:p>
            <w:pPr>
              <w:pStyle w:val="Compact"/>
            </w:pPr>
            <w:r>
              <w:t xml:space="preserve">Jimenez-Cauhe 2020</w:t>
            </w:r>
          </w:p>
        </w:tc>
        <w:tc>
          <w:tcPr/>
          <w:p>
            <w:pPr>
              <w:pStyle w:val="Compact"/>
            </w:pPr>
            <w:r>
              <w:t xml:space="preserve">442</w:t>
            </w:r>
          </w:p>
        </w:tc>
        <w:tc>
          <w:tcPr/>
          <w:p>
            <w:pPr>
              <w:pStyle w:val="Compact"/>
            </w:pPr>
            <w:r>
              <w:t xml:space="preserve">70-100%</w:t>
            </w:r>
          </w:p>
        </w:tc>
        <w:tc>
          <w:tcPr/>
          <w:p>
            <w:pPr>
              <w:pStyle w:val="Compact"/>
            </w:pPr>
            <w:r>
              <w:t xml:space="preserve">Well-tolerated</w:t>
            </w:r>
          </w:p>
        </w:tc>
      </w:tr>
      <w:tr>
        <w:tc>
          <w:tcPr/>
          <w:p>
            <w:pPr>
              <w:pStyle w:val="Compact"/>
            </w:pPr>
            <w:r>
              <w:t xml:space="preserve">Randolph &amp; Tosti 2021</w:t>
            </w:r>
          </w:p>
        </w:tc>
        <w:tc>
          <w:tcPr/>
          <w:p>
            <w:pPr>
              <w:pStyle w:val="Compact"/>
            </w:pPr>
            <w:r>
              <w:t xml:space="preserve">634 (review)</w:t>
            </w:r>
          </w:p>
        </w:tc>
        <w:tc>
          <w:tcPr/>
          <w:p>
            <w:pPr>
              <w:pStyle w:val="Compact"/>
            </w:pPr>
            <w:r>
              <w:t xml:space="preserve">"Effective treatment"</w:t>
            </w:r>
          </w:p>
        </w:tc>
        <w:tc>
          <w:tcPr/>
          <w:p>
            <w:pPr>
              <w:pStyle w:val="Compact"/>
            </w:pPr>
            <w:r>
              <w:t xml:space="preserve">"Well-tolerated"</w:t>
            </w:r>
          </w:p>
        </w:tc>
      </w:tr>
    </w:tbl>
    <w:bookmarkEnd w:id="11"/>
    <w:bookmarkStart w:id="12" w:name="the-problem-with-ir-minoxidil"/>
    <w:p>
      <w:pPr>
        <w:pStyle w:val="Heading3"/>
      </w:pPr>
      <w:r>
        <w:t xml:space="preserve">The Problem with IR Minoxidil</w:t>
      </w:r>
    </w:p>
    <w:p>
      <w:pPr>
        <w:pStyle w:val="FirstParagraph"/>
      </w:pPr>
      <w:r>
        <w:t xml:space="preserve">Immediate-release minoxidil at 5mg produces Cmax of ~22 ng/mL, exceeding the cardiac activity threshold (~20 ng/mL). This causes side effects:</w:t>
      </w:r>
    </w:p>
    <w:p>
      <w:pPr>
        <w:pStyle w:val="Compact"/>
        <w:numPr>
          <w:ilvl w:val="0"/>
          <w:numId w:val="1002"/>
        </w:numPr>
      </w:pPr>
      <w:r>
        <w:t xml:space="preserve">Tachycardia (rapid heart rate)</w:t>
      </w:r>
    </w:p>
    <w:p>
      <w:pPr>
        <w:pStyle w:val="Compact"/>
        <w:numPr>
          <w:ilvl w:val="0"/>
          <w:numId w:val="1002"/>
        </w:numPr>
      </w:pPr>
      <w:r>
        <w:t xml:space="preserve">Hypotension (low blood pressure)</w:t>
      </w:r>
    </w:p>
    <w:p>
      <w:pPr>
        <w:pStyle w:val="Compact"/>
        <w:numPr>
          <w:ilvl w:val="0"/>
          <w:numId w:val="1002"/>
        </w:numPr>
      </w:pPr>
      <w:r>
        <w:t xml:space="preserve">Fluid retention</w:t>
      </w:r>
    </w:p>
    <w:p>
      <w:pPr>
        <w:pStyle w:val="FirstParagraph"/>
      </w:pPr>
      <w:r>
        <w:rPr>
          <w:b/>
          <w:bCs/>
        </w:rPr>
        <w:t xml:space="preserve">Solution:</w:t>
      </w:r>
      <w:r>
        <w:t xml:space="preserve"> </w:t>
      </w:r>
      <w:r>
        <w:t xml:space="preserve">Extended-release formulation reduces peak levels while maintaining therapeutic exposure.</w:t>
      </w:r>
    </w:p>
    <w:bookmarkEnd w:id="12"/>
    <w:bookmarkStart w:id="13" w:name="the-pk-targets"/>
    <w:p>
      <w:pPr>
        <w:pStyle w:val="Heading3"/>
      </w:pPr>
      <w:r>
        <w:t xml:space="preserve">The PK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Target</w:t>
            </w:r>
          </w:p>
        </w:tc>
        <w:tc>
          <w:tcPr/>
          <w:p>
            <w:pPr>
              <w:pStyle w:val="Compact"/>
            </w:pPr>
            <w:r>
              <w:t xml:space="preserve">Rationale</w:t>
            </w:r>
          </w:p>
        </w:tc>
      </w:tr>
      <w:tr>
        <w:tc>
          <w:tcPr/>
          <w:p>
            <w:pPr>
              <w:pStyle w:val="Compact"/>
            </w:pPr>
            <w:r>
              <w:rPr>
                <w:b/>
                <w:bCs/>
              </w:rPr>
              <w:t xml:space="preserve">Cmax</w:t>
            </w:r>
          </w:p>
        </w:tc>
        <w:tc>
          <w:tcPr/>
          <w:p>
            <w:pPr>
              <w:pStyle w:val="Compact"/>
            </w:pPr>
            <w:r>
              <w:t xml:space="preserve">6-10 ng/mL</w:t>
            </w:r>
          </w:p>
        </w:tc>
        <w:tc>
          <w:tcPr/>
          <w:p>
            <w:pPr>
              <w:pStyle w:val="Compact"/>
            </w:pPr>
            <w:r>
              <w:t xml:space="preserve">Below cardiac threshold (20 ng/mL), above hair growth threshold (1.62 ng/mL)</w:t>
            </w:r>
          </w:p>
        </w:tc>
      </w:tr>
      <w:tr>
        <w:tc>
          <w:tcPr/>
          <w:p>
            <w:pPr>
              <w:pStyle w:val="Compact"/>
            </w:pPr>
            <w:r>
              <w:rPr>
                <w:b/>
                <w:bCs/>
              </w:rPr>
              <w:t xml:space="preserve">Tmax</w:t>
            </w:r>
          </w:p>
        </w:tc>
        <w:tc>
          <w:tcPr/>
          <w:p>
            <w:pPr>
              <w:pStyle w:val="Compact"/>
            </w:pPr>
            <w:r>
              <w:t xml:space="preserve">2-4 hours</w:t>
            </w:r>
          </w:p>
        </w:tc>
        <w:tc>
          <w:tcPr/>
          <w:p>
            <w:pPr>
              <w:pStyle w:val="Compact"/>
            </w:pPr>
            <w:r>
              <w:t xml:space="preserve">Delayed peak reduces side effects</w:t>
            </w:r>
          </w:p>
        </w:tc>
      </w:tr>
      <w:tr>
        <w:tc>
          <w:tcPr/>
          <w:p>
            <w:pPr>
              <w:pStyle w:val="Compact"/>
            </w:pPr>
            <w:r>
              <w:rPr>
                <w:b/>
                <w:bCs/>
              </w:rPr>
              <w:t xml:space="preserve">Duration &gt;1.62 ng/mL</w:t>
            </w:r>
          </w:p>
        </w:tc>
        <w:tc>
          <w:tcPr/>
          <w:p>
            <w:pPr>
              <w:pStyle w:val="Compact"/>
            </w:pPr>
            <w:r>
              <w:t xml:space="preserve">&gt;8 hours</w:t>
            </w:r>
          </w:p>
        </w:tc>
        <w:tc>
          <w:tcPr/>
          <w:p>
            <w:pPr>
              <w:pStyle w:val="Compact"/>
            </w:pPr>
            <w:r>
              <w:t xml:space="preserve">Sustained therapeutic coverage</w:t>
            </w:r>
          </w:p>
        </w:tc>
      </w:tr>
    </w:tbl>
    <w:p>
      <w:r>
        <w:pict>
          <v:rect style="width:0;height:1.5pt" o:hralign="center" o:hrstd="t" o:hr="t"/>
        </w:pict>
      </w:r>
    </w:p>
    <w:bookmarkEnd w:id="13"/>
    <w:bookmarkEnd w:id="14"/>
    <w:bookmarkStart w:id="20" w:name="tech"/>
    <w:p>
      <w:pPr>
        <w:pStyle w:val="Heading2"/>
      </w:pPr>
      <w:r>
        <w:t xml:space="preserve">2. Technical Approach: Lipid Matrix</w:t>
      </w:r>
    </w:p>
    <w:bookmarkStart w:id="15" w:name="veradermics-patented"/>
    <w:p>
      <w:pPr>
        <w:pStyle w:val="Heading4"/>
      </w:pPr>
      <w:r>
        <w:t xml:space="preserve">Veradermics (Patented)</w:t>
      </w:r>
    </w:p>
    <w:p>
      <w:pPr>
        <w:pStyle w:val="FirstParagraph"/>
      </w:pPr>
      <w:r>
        <w:rPr>
          <w:b/>
          <w:bCs/>
        </w:rPr>
        <w:t xml:space="preserve">Technology:</w:t>
      </w:r>
      <w:r>
        <w:t xml:space="preserve"> </w:t>
      </w:r>
      <w:r>
        <w:t xml:space="preserve">HPMC gel matrix</w:t>
      </w:r>
    </w:p>
    <w:p>
      <w:pPr>
        <w:pStyle w:val="Compact"/>
        <w:numPr>
          <w:ilvl w:val="0"/>
          <w:numId w:val="1003"/>
        </w:numPr>
      </w:pPr>
      <w:r>
        <w:t xml:space="preserve">Hydrophilic polymer</w:t>
      </w:r>
    </w:p>
    <w:p>
      <w:pPr>
        <w:pStyle w:val="Compact"/>
        <w:numPr>
          <w:ilvl w:val="0"/>
          <w:numId w:val="1003"/>
        </w:numPr>
      </w:pPr>
      <w:r>
        <w:t xml:space="preserve">Swells in water (2-4x volume)</w:t>
      </w:r>
    </w:p>
    <w:p>
      <w:pPr>
        <w:pStyle w:val="Compact"/>
        <w:numPr>
          <w:ilvl w:val="0"/>
          <w:numId w:val="1003"/>
        </w:numPr>
      </w:pPr>
      <w:r>
        <w:t xml:space="preserve">Forms viscous gel layer</w:t>
      </w:r>
    </w:p>
    <w:p>
      <w:pPr>
        <w:pStyle w:val="Compact"/>
        <w:numPr>
          <w:ilvl w:val="0"/>
          <w:numId w:val="1003"/>
        </w:numPr>
      </w:pPr>
      <w:r>
        <w:t xml:space="preserve">Drug diffuses through gel</w:t>
      </w:r>
    </w:p>
    <w:p>
      <w:pPr>
        <w:pStyle w:val="FirstParagraph"/>
      </w:pPr>
      <w:r>
        <w:rPr>
          <w:b/>
          <w:bCs/>
        </w:rPr>
        <w:t xml:space="preserve">Release modifier:</w:t>
      </w:r>
      <w:r>
        <w:t xml:space="preserve"> </w:t>
      </w:r>
      <w:r>
        <w:t xml:space="preserve">HPMC K4M, K200M (50-80% w/w)</w:t>
      </w:r>
    </w:p>
    <w:bookmarkEnd w:id="15"/>
    <w:bookmarkStart w:id="16" w:name="our-approach-lipid-matrix"/>
    <w:p>
      <w:pPr>
        <w:pStyle w:val="Heading4"/>
      </w:pPr>
      <w:r>
        <w:t xml:space="preserve">Our Approach (Lipid Matrix)</w:t>
      </w:r>
    </w:p>
    <w:p>
      <w:pPr>
        <w:pStyle w:val="FirstParagraph"/>
      </w:pPr>
      <w:r>
        <w:rPr>
          <w:b/>
          <w:bCs/>
        </w:rPr>
        <w:t xml:space="preserve">Technology:</w:t>
      </w:r>
      <w:r>
        <w:t xml:space="preserve"> </w:t>
      </w:r>
      <w:r>
        <w:t xml:space="preserve">Lipid matrix (Compritol/Precirol)</w:t>
      </w:r>
    </w:p>
    <w:p>
      <w:pPr>
        <w:pStyle w:val="Compact"/>
        <w:numPr>
          <w:ilvl w:val="0"/>
          <w:numId w:val="1004"/>
        </w:numPr>
      </w:pPr>
      <w:r>
        <w:t xml:space="preserve">Hydrophobic lipids</w:t>
      </w:r>
    </w:p>
    <w:p>
      <w:pPr>
        <w:pStyle w:val="Compact"/>
        <w:numPr>
          <w:ilvl w:val="0"/>
          <w:numId w:val="1004"/>
        </w:numPr>
      </w:pPr>
      <w:r>
        <w:t xml:space="preserve">Does NOT swell</w:t>
      </w:r>
    </w:p>
    <w:p>
      <w:pPr>
        <w:pStyle w:val="Compact"/>
        <w:numPr>
          <w:ilvl w:val="0"/>
          <w:numId w:val="1004"/>
        </w:numPr>
      </w:pPr>
      <w:r>
        <w:t xml:space="preserve">NO gel formation</w:t>
      </w:r>
    </w:p>
    <w:p>
      <w:pPr>
        <w:pStyle w:val="Compact"/>
        <w:numPr>
          <w:ilvl w:val="0"/>
          <w:numId w:val="1004"/>
        </w:numPr>
      </w:pPr>
      <w:r>
        <w:t xml:space="preserve">Drug releases via erosion/pore diffusion</w:t>
      </w:r>
    </w:p>
    <w:p>
      <w:pPr>
        <w:pStyle w:val="FirstParagraph"/>
      </w:pPr>
      <w:r>
        <w:rPr>
          <w:b/>
          <w:bCs/>
        </w:rPr>
        <w:t xml:space="preserve">Release modifier:</w:t>
      </w:r>
      <w:r>
        <w:t xml:space="preserve"> </w:t>
      </w:r>
      <w:r>
        <w:t xml:space="preserve">Glyceryl behenate, glyceryl palmitostearate</w:t>
      </w:r>
    </w:p>
    <w:bookmarkEnd w:id="16"/>
    <w:bookmarkStart w:id="17" w:name="why-lipid-matrix"/>
    <w:p>
      <w:pPr>
        <w:pStyle w:val="Heading4"/>
      </w:pPr>
      <w:r>
        <w:t xml:space="preserve">Why Lipid Matrix?</w:t>
      </w:r>
    </w:p>
    <w:p>
      <w:pPr>
        <w:pStyle w:val="Compact"/>
        <w:numPr>
          <w:ilvl w:val="0"/>
          <w:numId w:val="1005"/>
        </w:numPr>
      </w:pPr>
      <w:r>
        <w:rPr>
          <w:b/>
          <w:bCs/>
        </w:rPr>
        <w:t xml:space="preserve">Strongest patent defense</w:t>
      </w:r>
      <w:r>
        <w:t xml:space="preserve"> </w:t>
      </w:r>
      <w:r>
        <w:t xml:space="preserve">- Lipids are NOT cellulose derivatives; completely different chemistry</w:t>
      </w:r>
    </w:p>
    <w:p>
      <w:pPr>
        <w:pStyle w:val="Compact"/>
        <w:numPr>
          <w:ilvl w:val="0"/>
          <w:numId w:val="1005"/>
        </w:numPr>
      </w:pPr>
      <w:r>
        <w:rPr>
          <w:b/>
          <w:bCs/>
        </w:rPr>
        <w:t xml:space="preserve">Simple manufacturing</w:t>
      </w:r>
      <w:r>
        <w:t xml:space="preserve"> </w:t>
      </w:r>
      <w:r>
        <w:t xml:space="preserve">- Melt granulation with standard equipment</w:t>
      </w:r>
    </w:p>
    <w:p>
      <w:pPr>
        <w:pStyle w:val="Compact"/>
        <w:numPr>
          <w:ilvl w:val="0"/>
          <w:numId w:val="1005"/>
        </w:numPr>
      </w:pPr>
      <w:r>
        <w:rPr>
          <w:b/>
          <w:bCs/>
        </w:rPr>
        <w:t xml:space="preserve">Lower cost</w:t>
      </w:r>
      <w:r>
        <w:t xml:space="preserve"> </w:t>
      </w:r>
      <w:r>
        <w:t xml:space="preserve">- Cheaper excipients, simpler process</w:t>
      </w:r>
    </w:p>
    <w:p>
      <w:pPr>
        <w:pStyle w:val="Compact"/>
        <w:numPr>
          <w:ilvl w:val="0"/>
          <w:numId w:val="1005"/>
        </w:numPr>
      </w:pPr>
      <w:r>
        <w:rPr>
          <w:b/>
          <w:bCs/>
        </w:rPr>
        <w:t xml:space="preserve">Established technology</w:t>
      </w:r>
      <w:r>
        <w:t xml:space="preserve"> </w:t>
      </w:r>
      <w:r>
        <w:t xml:space="preserve">- Compritol/Precirol used for 30+ years</w:t>
      </w:r>
    </w:p>
    <w:bookmarkEnd w:id="17"/>
    <w:bookmarkStart w:id="18" w:name="formulation-summary"/>
    <w:p>
      <w:pPr>
        <w:pStyle w:val="Heading3"/>
      </w:pPr>
      <w:r>
        <w:t xml:space="preserve">Formulation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Amount</w:t>
            </w:r>
          </w:p>
        </w:tc>
        <w:tc>
          <w:tcPr/>
          <w:p>
            <w:pPr>
              <w:pStyle w:val="Compact"/>
            </w:pPr>
            <w:r>
              <w:t xml:space="preserve">Function</w:t>
            </w:r>
          </w:p>
        </w:tc>
      </w:tr>
      <w:tr>
        <w:tc>
          <w:tcPr/>
          <w:p>
            <w:pPr>
              <w:pStyle w:val="Compact"/>
            </w:pPr>
            <w:r>
              <w:rPr>
                <w:b/>
                <w:bCs/>
              </w:rPr>
              <w:t xml:space="preserve">Minoxidil USP</w:t>
            </w:r>
          </w:p>
        </w:tc>
        <w:tc>
          <w:tcPr/>
          <w:p>
            <w:pPr>
              <w:pStyle w:val="Compact"/>
            </w:pPr>
            <w:r>
              <w:rPr>
                <w:b/>
                <w:bCs/>
              </w:rPr>
              <w:t xml:space="preserve">8.5 mg (3.4%)</w:t>
            </w:r>
          </w:p>
        </w:tc>
        <w:tc>
          <w:tcPr/>
          <w:p>
            <w:pPr>
              <w:pStyle w:val="Compact"/>
            </w:pPr>
            <w:r>
              <w:t xml:space="preserve">Active pharmaceutical ingredient</w:t>
            </w:r>
          </w:p>
        </w:tc>
      </w:tr>
      <w:tr>
        <w:tc>
          <w:tcPr/>
          <w:p>
            <w:pPr>
              <w:pStyle w:val="Compact"/>
            </w:pPr>
            <w:r>
              <w:t xml:space="preserve">Compritol 888 ATO</w:t>
            </w:r>
          </w:p>
        </w:tc>
        <w:tc>
          <w:tcPr/>
          <w:p>
            <w:pPr>
              <w:pStyle w:val="Compact"/>
            </w:pPr>
            <w:r>
              <w:t xml:space="preserve">112.5 mg (45%)</w:t>
            </w:r>
          </w:p>
        </w:tc>
        <w:tc>
          <w:tcPr/>
          <w:p>
            <w:pPr>
              <w:pStyle w:val="Compact"/>
            </w:pPr>
            <w:r>
              <w:t xml:space="preserve">Primary lipid matrix former</w:t>
            </w:r>
          </w:p>
        </w:tc>
      </w:tr>
      <w:tr>
        <w:tc>
          <w:tcPr/>
          <w:p>
            <w:pPr>
              <w:pStyle w:val="Compact"/>
            </w:pPr>
            <w:r>
              <w:t xml:space="preserve">Precirol ATO 5</w:t>
            </w:r>
          </w:p>
        </w:tc>
        <w:tc>
          <w:tcPr/>
          <w:p>
            <w:pPr>
              <w:pStyle w:val="Compact"/>
            </w:pPr>
            <w:r>
              <w:t xml:space="preserve">30 mg (12%)</w:t>
            </w:r>
          </w:p>
        </w:tc>
        <w:tc>
          <w:tcPr/>
          <w:p>
            <w:pPr>
              <w:pStyle w:val="Compact"/>
            </w:pPr>
            <w:r>
              <w:t xml:space="preserve">Secondary lipid (modulates release)</w:t>
            </w:r>
          </w:p>
        </w:tc>
      </w:tr>
      <w:tr>
        <w:tc>
          <w:tcPr/>
          <w:p>
            <w:pPr>
              <w:pStyle w:val="Compact"/>
            </w:pPr>
            <w:r>
              <w:t xml:space="preserve">PEG 6000</w:t>
            </w:r>
          </w:p>
        </w:tc>
        <w:tc>
          <w:tcPr/>
          <w:p>
            <w:pPr>
              <w:pStyle w:val="Compact"/>
            </w:pPr>
            <w:r>
              <w:t xml:space="preserve">12.5 mg (5%)</w:t>
            </w:r>
          </w:p>
        </w:tc>
        <w:tc>
          <w:tcPr/>
          <w:p>
            <w:pPr>
              <w:pStyle w:val="Compact"/>
            </w:pPr>
            <w:r>
              <w:t xml:space="preserve">Pore former</w:t>
            </w:r>
          </w:p>
        </w:tc>
      </w:tr>
      <w:tr>
        <w:tc>
          <w:tcPr/>
          <w:p>
            <w:pPr>
              <w:pStyle w:val="Compact"/>
            </w:pPr>
            <w:r>
              <w:t xml:space="preserve">MCC, Lactose, etc.</w:t>
            </w:r>
          </w:p>
        </w:tc>
        <w:tc>
          <w:tcPr/>
          <w:p>
            <w:pPr>
              <w:pStyle w:val="Compact"/>
            </w:pPr>
            <w:r>
              <w:t xml:space="preserve">81.25 mg (32.5%)</w:t>
            </w:r>
          </w:p>
        </w:tc>
        <w:tc>
          <w:tcPr/>
          <w:p>
            <w:pPr>
              <w:pStyle w:val="Compact"/>
            </w:pPr>
            <w:r>
              <w:t xml:space="preserve">Fillers, glidant, lubricant</w:t>
            </w:r>
          </w:p>
        </w:tc>
      </w:tr>
      <w:tr>
        <w:tc>
          <w:tcPr/>
          <w:p>
            <w:pPr>
              <w:pStyle w:val="Compact"/>
            </w:pPr>
            <w:r>
              <w:t xml:space="preserve">Total</w:t>
            </w:r>
          </w:p>
        </w:tc>
        <w:tc>
          <w:tcPr/>
          <w:p>
            <w:pPr>
              <w:pStyle w:val="Compact"/>
            </w:pPr>
            <w:r>
              <w:t xml:space="preserve">250 mg</w:t>
            </w:r>
          </w:p>
        </w:tc>
        <w:tc>
          <w:tcPr/>
          <w:p>
            <w:pPr>
              <w:pStyle w:val="Compact"/>
            </w:pPr>
          </w:p>
        </w:tc>
      </w:tr>
    </w:tbl>
    <w:p>
      <w:pPr>
        <w:pStyle w:val="BodyText"/>
      </w:pPr>
      <w:r>
        <w:rPr>
          <w:b/>
          <w:bCs/>
        </w:rPr>
        <w:t xml:space="preserve">Dosing:</w:t>
      </w:r>
      <w:r>
        <w:t xml:space="preserve"> </w:t>
      </w:r>
      <w:r>
        <w:t xml:space="preserve">One 8.5 mg capsule/tablet twice daily (q12h) = 17 mg total daily dose</w:t>
      </w:r>
    </w:p>
    <w:bookmarkEnd w:id="18"/>
    <w:bookmarkStart w:id="19" w:name="target-dissolution-profile"/>
    <w:p>
      <w:pPr>
        <w:pStyle w:val="Heading3"/>
      </w:pPr>
      <w:r>
        <w:t xml:space="preserve">Target Dissolution Profile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Target Release</w:t>
            </w:r>
          </w:p>
        </w:tc>
        <w:tc>
          <w:tcPr/>
          <w:p>
            <w:pPr>
              <w:pStyle w:val="Compact"/>
            </w:pPr>
            <w:r>
              <w:t xml:space="preserve">Acceptable Range</w:t>
            </w:r>
          </w:p>
        </w:tc>
      </w:tr>
      <w:tr>
        <w:tc>
          <w:tcPr/>
          <w:p>
            <w:pPr>
              <w:pStyle w:val="Compact"/>
            </w:pPr>
            <w:r>
              <w:t xml:space="preserve">1 hour</w:t>
            </w:r>
          </w:p>
        </w:tc>
        <w:tc>
          <w:tcPr/>
          <w:p>
            <w:pPr>
              <w:pStyle w:val="Compact"/>
            </w:pPr>
            <w:r>
              <w:t xml:space="preserve">15-20%</w:t>
            </w:r>
          </w:p>
        </w:tc>
        <w:tc>
          <w:tcPr/>
          <w:p>
            <w:pPr>
              <w:pStyle w:val="Compact"/>
            </w:pPr>
            <w:r>
              <w:t xml:space="preserve">10-25%</w:t>
            </w:r>
          </w:p>
        </w:tc>
      </w:tr>
      <w:tr>
        <w:tc>
          <w:tcPr/>
          <w:p>
            <w:pPr>
              <w:pStyle w:val="Compact"/>
            </w:pPr>
            <w:r>
              <w:t xml:space="preserve">4 hours</w:t>
            </w:r>
          </w:p>
        </w:tc>
        <w:tc>
          <w:tcPr/>
          <w:p>
            <w:pPr>
              <w:pStyle w:val="Compact"/>
            </w:pPr>
            <w:r>
              <w:t xml:space="preserve">40-50%</w:t>
            </w:r>
          </w:p>
        </w:tc>
        <w:tc>
          <w:tcPr/>
          <w:p>
            <w:pPr>
              <w:pStyle w:val="Compact"/>
            </w:pPr>
            <w:r>
              <w:t xml:space="preserve">35-55%</w:t>
            </w:r>
          </w:p>
        </w:tc>
      </w:tr>
      <w:tr>
        <w:tc>
          <w:tcPr/>
          <w:p>
            <w:pPr>
              <w:pStyle w:val="Compact"/>
            </w:pPr>
            <w:r>
              <w:t xml:space="preserve">8 hours</w:t>
            </w:r>
          </w:p>
        </w:tc>
        <w:tc>
          <w:tcPr/>
          <w:p>
            <w:pPr>
              <w:pStyle w:val="Compact"/>
            </w:pPr>
            <w:r>
              <w:t xml:space="preserve">65-75%</w:t>
            </w:r>
          </w:p>
        </w:tc>
        <w:tc>
          <w:tcPr/>
          <w:p>
            <w:pPr>
              <w:pStyle w:val="Compact"/>
            </w:pPr>
            <w:r>
              <w:t xml:space="preserve">60-80%</w:t>
            </w:r>
          </w:p>
        </w:tc>
      </w:tr>
      <w:tr>
        <w:tc>
          <w:tcPr/>
          <w:p>
            <w:pPr>
              <w:pStyle w:val="Compact"/>
            </w:pPr>
            <w:r>
              <w:t xml:space="preserve">12 hours</w:t>
            </w:r>
          </w:p>
        </w:tc>
        <w:tc>
          <w:tcPr/>
          <w:p>
            <w:pPr>
              <w:pStyle w:val="Compact"/>
            </w:pPr>
            <w:r>
              <w:t xml:space="preserve">&gt;80%</w:t>
            </w:r>
          </w:p>
        </w:tc>
        <w:tc>
          <w:tcPr/>
          <w:p>
            <w:pPr>
              <w:pStyle w:val="Compact"/>
            </w:pPr>
            <w:r>
              <w:t xml:space="preserve">&gt;75%</w:t>
            </w:r>
          </w:p>
        </w:tc>
      </w:tr>
    </w:tbl>
    <w:p>
      <w:r>
        <w:pict>
          <v:rect style="width:0;height:1.5pt" o:hralign="center" o:hrstd="t" o:hr="t"/>
        </w:pict>
      </w:r>
    </w:p>
    <w:bookmarkEnd w:id="19"/>
    <w:bookmarkEnd w:id="20"/>
    <w:bookmarkStart w:id="27" w:name="legal"/>
    <w:p>
      <w:pPr>
        <w:pStyle w:val="Heading2"/>
      </w:pPr>
      <w:r>
        <w:t xml:space="preserve">3. Legal Strategy</w:t>
      </w:r>
    </w:p>
    <w:bookmarkStart w:id="22" w:name="patent-landscape"/>
    <w:p>
      <w:pPr>
        <w:pStyle w:val="Heading3"/>
      </w:pPr>
      <w:r>
        <w:t xml:space="preserve">Patent Landscape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Patent</w:t>
            </w:r>
          </w:p>
        </w:tc>
        <w:tc>
          <w:tcPr/>
          <w:p>
            <w:pPr>
              <w:pStyle w:val="Compact"/>
            </w:pPr>
            <w:r>
              <w:t xml:space="preserve">Owner</w:t>
            </w:r>
          </w:p>
        </w:tc>
        <w:tc>
          <w:tcPr/>
          <w:p>
            <w:pPr>
              <w:pStyle w:val="Compact"/>
            </w:pPr>
            <w:r>
              <w:t xml:space="preserve">Technology</w:t>
            </w:r>
          </w:p>
        </w:tc>
        <w:tc>
          <w:tcPr/>
          <w:p>
            <w:pPr>
              <w:pStyle w:val="Compact"/>
            </w:pPr>
            <w:r>
              <w:t xml:space="preserve">Dose Range</w:t>
            </w:r>
          </w:p>
        </w:tc>
        <w:tc>
          <w:tcPr/>
          <w:p>
            <w:pPr>
              <w:pStyle w:val="Compact"/>
            </w:pPr>
            <w:r>
              <w:t xml:space="preserve">Risk to Us</w:t>
            </w:r>
          </w:p>
        </w:tc>
      </w:tr>
      <w:tr>
        <w:tc>
          <w:tcPr/>
          <w:p>
            <w:pPr>
              <w:pStyle w:val="Compact"/>
            </w:pPr>
            <w:r>
              <w:t xml:space="preserve">US12268688B2</w:t>
            </w:r>
          </w:p>
        </w:tc>
        <w:tc>
          <w:tcPr/>
          <w:p>
            <w:pPr>
              <w:pStyle w:val="Compact"/>
            </w:pPr>
            <w:r>
              <w:t xml:space="preserve">Veradermics</w:t>
            </w:r>
          </w:p>
        </w:tc>
        <w:tc>
          <w:tcPr/>
          <w:p>
            <w:pPr>
              <w:pStyle w:val="Compact"/>
            </w:pPr>
            <w:r>
              <w:t xml:space="preserve">HPMC gel matrix ER</w:t>
            </w:r>
          </w:p>
        </w:tc>
        <w:tc>
          <w:tcPr/>
          <w:p>
            <w:pPr>
              <w:pStyle w:val="Compact"/>
            </w:pPr>
            <w:r>
              <w:t xml:space="preserve">3.5-20 mg</w:t>
            </w:r>
          </w:p>
        </w:tc>
        <w:tc>
          <w:tcPr/>
          <w:p>
            <w:pPr>
              <w:pStyle w:val="Compact"/>
            </w:pPr>
            <w:r>
              <w:rPr>
                <w:b/>
                <w:bCs/>
              </w:rPr>
              <w:t xml:space="preserve">LOW</w:t>
            </w:r>
            <w:r>
              <w:t xml:space="preserve"> </w:t>
            </w:r>
            <w:r>
              <w:t xml:space="preserve">(different tech)</w:t>
            </w:r>
          </w:p>
        </w:tc>
      </w:tr>
      <w:tr>
        <w:tc>
          <w:tcPr/>
          <w:p>
            <w:pPr>
              <w:pStyle w:val="Compact"/>
            </w:pPr>
            <w:r>
              <w:t xml:space="preserve">US10226462B2</w:t>
            </w:r>
          </w:p>
        </w:tc>
        <w:tc>
          <w:tcPr/>
          <w:p>
            <w:pPr>
              <w:pStyle w:val="Compact"/>
            </w:pPr>
            <w:r>
              <w:t xml:space="preserve">Samson Clinical</w:t>
            </w:r>
          </w:p>
        </w:tc>
        <w:tc>
          <w:tcPr/>
          <w:p>
            <w:pPr>
              <w:pStyle w:val="Compact"/>
            </w:pPr>
            <w:r>
              <w:t xml:space="preserve">Immediate-release only</w:t>
            </w:r>
          </w:p>
        </w:tc>
        <w:tc>
          <w:tcPr/>
          <w:p>
            <w:pPr>
              <w:pStyle w:val="Compact"/>
            </w:pPr>
            <w:r>
              <w:t xml:space="preserve">0.1-0.49 mg</w:t>
            </w:r>
          </w:p>
        </w:tc>
        <w:tc>
          <w:tcPr/>
          <w:p>
            <w:pPr>
              <w:pStyle w:val="Compact"/>
            </w:pPr>
            <w:r>
              <w:rPr>
                <w:b/>
                <w:bCs/>
              </w:rPr>
              <w:t xml:space="preserve">LOW</w:t>
            </w:r>
            <w:r>
              <w:t xml:space="preserve"> </w:t>
            </w:r>
            <w:r>
              <w:t xml:space="preserve">(ER, different dose)</w:t>
            </w:r>
          </w:p>
        </w:tc>
      </w:tr>
      <w:tr>
        <w:tc>
          <w:tcPr/>
          <w:p>
            <w:pPr>
              <w:pStyle w:val="Compact"/>
            </w:pPr>
            <w:r>
              <w:rPr>
                <w:i/>
                <w:iCs/>
              </w:rPr>
              <w:t xml:space="preserve">Our Product</w:t>
            </w:r>
          </w:p>
        </w:tc>
        <w:tc>
          <w:tcPr/>
          <w:p>
            <w:pPr>
              <w:pStyle w:val="Compact"/>
            </w:pPr>
            <w:r>
              <w:rPr>
                <w:i/>
                <w:iCs/>
              </w:rPr>
              <w:t xml:space="preserve">N/A</w:t>
            </w:r>
          </w:p>
        </w:tc>
        <w:tc>
          <w:tcPr/>
          <w:p>
            <w:pPr>
              <w:pStyle w:val="Compact"/>
            </w:pPr>
            <w:r>
              <w:rPr>
                <w:i/>
                <w:iCs/>
              </w:rPr>
              <w:t xml:space="preserve">Lipid matrix ER</w:t>
            </w:r>
          </w:p>
        </w:tc>
        <w:tc>
          <w:tcPr/>
          <w:p>
            <w:pPr>
              <w:pStyle w:val="Compact"/>
            </w:pPr>
            <w:r>
              <w:rPr>
                <w:i/>
                <w:iCs/>
              </w:rPr>
              <w:t xml:space="preserve">8.5 mg (x2)</w:t>
            </w:r>
          </w:p>
        </w:tc>
        <w:tc>
          <w:tcPr/>
          <w:p>
            <w:pPr>
              <w:pStyle w:val="Compact"/>
            </w:pPr>
            <w:r>
              <w:rPr>
                <w:i/>
                <w:iCs/>
              </w:rPr>
              <w:t xml:space="preserve">N/A</w:t>
            </w:r>
          </w:p>
        </w:tc>
      </w:tr>
    </w:tbl>
    <w:bookmarkStart w:id="21" w:name="two-pronged-defense-strategy"/>
    <w:p>
      <w:pPr>
        <w:pStyle w:val="Heading4"/>
      </w:pPr>
      <w:r>
        <w:t xml:space="preserve">Two-Pronged Defense Strategy</w:t>
      </w:r>
    </w:p>
    <w:p>
      <w:pPr>
        <w:pStyle w:val="FirstParagraph"/>
      </w:pPr>
      <w:r>
        <w:rPr>
          <w:b/>
          <w:bCs/>
        </w:rPr>
        <w:t xml:space="preserve">Prong 1: Non-Infringement</w:t>
      </w:r>
    </w:p>
    <w:p>
      <w:pPr>
        <w:pStyle w:val="Compact"/>
        <w:numPr>
          <w:ilvl w:val="0"/>
          <w:numId w:val="1006"/>
        </w:numPr>
      </w:pPr>
      <w:r>
        <w:t xml:space="preserve">Lipids are NOT "release modifiers" as defined in Veradermics' specification</w:t>
      </w:r>
    </w:p>
    <w:p>
      <w:pPr>
        <w:pStyle w:val="Compact"/>
        <w:numPr>
          <w:ilvl w:val="0"/>
          <w:numId w:val="1006"/>
        </w:numPr>
      </w:pPr>
      <w:r>
        <w:t xml:space="preserve">Different chemical class (glycerides vs. cellulose ethers)</w:t>
      </w:r>
    </w:p>
    <w:p>
      <w:pPr>
        <w:pStyle w:val="Compact"/>
        <w:numPr>
          <w:ilvl w:val="0"/>
          <w:numId w:val="1006"/>
        </w:numPr>
      </w:pPr>
      <w:r>
        <w:t xml:space="preserve">Different release mechanism (erosion vs. gel diffusion)</w:t>
      </w:r>
    </w:p>
    <w:p>
      <w:pPr>
        <w:pStyle w:val="Compact"/>
        <w:numPr>
          <w:ilvl w:val="0"/>
          <w:numId w:val="1006"/>
        </w:numPr>
      </w:pPr>
      <w:r>
        <w:t xml:space="preserve">No gel formation, no swelling - fundamentally different behavior</w:t>
      </w:r>
    </w:p>
    <w:p>
      <w:pPr>
        <w:pStyle w:val="FirstParagraph"/>
      </w:pPr>
      <w:r>
        <w:rPr>
          <w:b/>
          <w:bCs/>
        </w:rPr>
        <w:t xml:space="preserve">Prong 2: Patent Invalidity (IPR)</w:t>
      </w:r>
    </w:p>
    <w:p>
      <w:pPr>
        <w:pStyle w:val="Compact"/>
        <w:numPr>
          <w:ilvl w:val="0"/>
          <w:numId w:val="1007"/>
        </w:numPr>
      </w:pPr>
      <w:r>
        <w:t xml:space="preserve">Prior art IR minoxidil achieves the claimed PK parameters (Fleishaker 1989)</w:t>
      </w:r>
    </w:p>
    <w:p>
      <w:pPr>
        <w:pStyle w:val="Compact"/>
        <w:numPr>
          <w:ilvl w:val="0"/>
          <w:numId w:val="1007"/>
        </w:numPr>
      </w:pPr>
      <w:r>
        <w:t xml:space="preserve">Oral minoxidil for hair loss was known (1,400+ patients pre-2022)</w:t>
      </w:r>
    </w:p>
    <w:p>
      <w:pPr>
        <w:pStyle w:val="Compact"/>
        <w:numPr>
          <w:ilvl w:val="0"/>
          <w:numId w:val="1007"/>
        </w:numPr>
      </w:pPr>
      <w:r>
        <w:t xml:space="preserve">Making ER from known IR drug is routine optimization (KSR v. Teleflex)</w:t>
      </w:r>
    </w:p>
    <w:p>
      <w:pPr>
        <w:pStyle w:val="Compact"/>
        <w:numPr>
          <w:ilvl w:val="0"/>
          <w:numId w:val="1007"/>
        </w:numPr>
      </w:pPr>
      <w:r>
        <w:t xml:space="preserve">No unexpected results - ER reducing Cmax is the definition of ER</w:t>
      </w:r>
    </w:p>
    <w:bookmarkEnd w:id="21"/>
    <w:bookmarkEnd w:id="22"/>
    <w:bookmarkStart w:id="24" w:name="X1d95650fac4cb5bc65396fa200f1a70d9db91b2"/>
    <w:p>
      <w:pPr>
        <w:pStyle w:val="Heading3"/>
      </w:pPr>
      <w:r>
        <w:t xml:space="preserve">Condensed Claim Chart: Our Formulation vs. Veradermics Claims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Veradermics Claim Element</w:t>
            </w:r>
          </w:p>
        </w:tc>
        <w:tc>
          <w:tcPr/>
          <w:p>
            <w:pPr>
              <w:pStyle w:val="Compact"/>
            </w:pPr>
            <w:r>
              <w:t xml:space="preserve">Our Lipid Matrix</w:t>
            </w:r>
          </w:p>
        </w:tc>
        <w:tc>
          <w:tcPr/>
          <w:p>
            <w:pPr>
              <w:pStyle w:val="Compact"/>
            </w:pPr>
            <w:r>
              <w:t xml:space="preserve">Status</w:t>
            </w:r>
          </w:p>
        </w:tc>
      </w:tr>
      <w:tr>
        <w:tc>
          <w:tcPr/>
          <w:p>
            <w:pPr>
              <w:pStyle w:val="Compact"/>
            </w:pPr>
            <w:r>
              <w:t xml:space="preserve">"Modified release pharmaceutical formulation"</w:t>
            </w:r>
          </w:p>
        </w:tc>
        <w:tc>
          <w:tcPr/>
          <w:p>
            <w:pPr>
              <w:pStyle w:val="Compact"/>
            </w:pPr>
            <w:r>
              <w:t xml:space="preserve">Yes - extended release</w:t>
            </w:r>
          </w:p>
        </w:tc>
        <w:tc>
          <w:tcPr/>
          <w:p>
            <w:pPr>
              <w:pStyle w:val="Compact"/>
            </w:pPr>
            <w:r>
              <w:t xml:space="preserve">MEETS (broadly)</w:t>
            </w:r>
          </w:p>
        </w:tc>
      </w:tr>
      <w:tr>
        <w:tc>
          <w:tcPr/>
          <w:p>
            <w:pPr>
              <w:pStyle w:val="Compact"/>
            </w:pPr>
            <w:r>
              <w:t xml:space="preserve">"Release modifier" (spec: HPMC, cellulose derivatives)</w:t>
            </w:r>
          </w:p>
        </w:tc>
        <w:tc>
          <w:tcPr/>
          <w:p>
            <w:pPr>
              <w:pStyle w:val="Compact"/>
            </w:pPr>
            <w:r>
              <w:t xml:space="preserve">Lipids (Compritol/Precirol) - NOT cellulose</w:t>
            </w:r>
          </w:p>
        </w:tc>
        <w:tc>
          <w:tcPr/>
          <w:p>
            <w:pPr>
              <w:pStyle w:val="Compact"/>
            </w:pPr>
            <w:r>
              <w:t xml:space="preserve">DOES NOT MEET</w:t>
            </w:r>
          </w:p>
        </w:tc>
      </w:tr>
      <w:tr>
        <w:tc>
          <w:tcPr/>
          <w:p>
            <w:pPr>
              <w:pStyle w:val="Compact"/>
            </w:pPr>
            <w:r>
              <w:t xml:space="preserve">"Release modifier at 50-80% w/w" (Claim 12)</w:t>
            </w:r>
          </w:p>
        </w:tc>
        <w:tc>
          <w:tcPr/>
          <w:p>
            <w:pPr>
              <w:pStyle w:val="Compact"/>
            </w:pPr>
            <w:r>
              <w:t xml:space="preserve">Lipid at 57% - but different chemistry</w:t>
            </w:r>
          </w:p>
        </w:tc>
        <w:tc>
          <w:tcPr/>
          <w:p>
            <w:pPr>
              <w:pStyle w:val="Compact"/>
            </w:pPr>
            <w:r>
              <w:t xml:space="preserve">DOES NOT MEET (different class)</w:t>
            </w:r>
          </w:p>
        </w:tc>
      </w:tr>
      <w:tr>
        <w:tc>
          <w:tcPr/>
          <w:p>
            <w:pPr>
              <w:pStyle w:val="Compact"/>
            </w:pPr>
            <w:r>
              <w:t xml:space="preserve">"Gel-forming" / "swelling" behavior (spec)</w:t>
            </w:r>
          </w:p>
        </w:tc>
        <w:tc>
          <w:tcPr/>
          <w:p>
            <w:pPr>
              <w:pStyle w:val="Compact"/>
            </w:pPr>
            <w:r>
              <w:t xml:space="preserve">No gel, no swelling - erosion mechanism</w:t>
            </w:r>
          </w:p>
        </w:tc>
        <w:tc>
          <w:tcPr/>
          <w:p>
            <w:pPr>
              <w:pStyle w:val="Compact"/>
            </w:pPr>
            <w:r>
              <w:t xml:space="preserve">DOES NOT MEET</w:t>
            </w:r>
          </w:p>
        </w:tc>
      </w:tr>
      <w:tr>
        <w:tc>
          <w:tcPr/>
          <w:p>
            <w:pPr>
              <w:pStyle w:val="Compact"/>
            </w:pPr>
            <w:r>
              <w:t xml:space="preserve">Cmax 0.25-20 ng/mL</w:t>
            </w:r>
          </w:p>
        </w:tc>
        <w:tc>
          <w:tcPr/>
          <w:p>
            <w:pPr>
              <w:pStyle w:val="Compact"/>
            </w:pPr>
            <w:r>
              <w:t xml:space="preserve">Target 6-10 ng/mL</w:t>
            </w:r>
          </w:p>
        </w:tc>
        <w:tc>
          <w:tcPr/>
          <w:p>
            <w:pPr>
              <w:pStyle w:val="Compact"/>
            </w:pPr>
            <w:r>
              <w:t xml:space="preserve">MEETS (but so does IR prior art)</w:t>
            </w:r>
          </w:p>
        </w:tc>
      </w:tr>
      <w:tr>
        <w:tc>
          <w:tcPr/>
          <w:p>
            <w:pPr>
              <w:pStyle w:val="Compact"/>
            </w:pPr>
            <w:r>
              <w:t xml:space="preserve">Tmax 30-360 minutes</w:t>
            </w:r>
          </w:p>
        </w:tc>
        <w:tc>
          <w:tcPr/>
          <w:p>
            <w:pPr>
              <w:pStyle w:val="Compact"/>
            </w:pPr>
            <w:r>
              <w:t xml:space="preserve">Target 120-240 min</w:t>
            </w:r>
          </w:p>
        </w:tc>
        <w:tc>
          <w:tcPr/>
          <w:p>
            <w:pPr>
              <w:pStyle w:val="Compact"/>
            </w:pPr>
            <w:r>
              <w:t xml:space="preserve">MEETS (but so does IR prior art)</w:t>
            </w:r>
          </w:p>
        </w:tc>
      </w:tr>
      <w:tr>
        <w:tc>
          <w:tcPr/>
          <w:p>
            <w:pPr>
              <w:pStyle w:val="Compact"/>
            </w:pPr>
            <w:r>
              <w:t xml:space="preserve">Dose 3.5-20 mg</w:t>
            </w:r>
          </w:p>
        </w:tc>
        <w:tc>
          <w:tcPr/>
          <w:p>
            <w:pPr>
              <w:pStyle w:val="Compact"/>
            </w:pPr>
            <w:r>
              <w:t xml:space="preserve">8.5 mg (x2 daily)</w:t>
            </w:r>
          </w:p>
        </w:tc>
        <w:tc>
          <w:tcPr/>
          <w:p>
            <w:pPr>
              <w:pStyle w:val="Compact"/>
            </w:pPr>
            <w:r>
              <w:t xml:space="preserve">MEETS</w:t>
            </w:r>
          </w:p>
        </w:tc>
      </w:tr>
    </w:tbl>
    <w:bookmarkStart w:id="23" w:name="claim-chart-summary"/>
    <w:p>
      <w:pPr>
        <w:pStyle w:val="Heading4"/>
      </w:pPr>
      <w:r>
        <w:t xml:space="preserve">Claim Chart Summary</w:t>
      </w:r>
    </w:p>
    <w:p>
      <w:pPr>
        <w:pStyle w:val="FirstParagraph"/>
      </w:pPr>
      <w:r>
        <w:rPr>
          <w:b/>
          <w:bCs/>
        </w:rPr>
        <w:t xml:space="preserve">Non-infringement argument:</w:t>
      </w:r>
      <w:r>
        <w:t xml:space="preserve"> </w:t>
      </w:r>
      <w:r>
        <w:t xml:space="preserve">We don't meet the "release modifier" limitation as defined by the specification (HPMC/cellulose derivatives). Lipids are a fundamentally different chemical class with different mechanism.</w:t>
      </w:r>
    </w:p>
    <w:p>
      <w:pPr>
        <w:pStyle w:val="BodyText"/>
      </w:pPr>
      <w:r>
        <w:rPr>
          <w:b/>
          <w:bCs/>
        </w:rPr>
        <w:t xml:space="preserve">Invalidity argument:</w:t>
      </w:r>
      <w:r>
        <w:t xml:space="preserve"> </w:t>
      </w:r>
      <w:r>
        <w:t xml:space="preserve">The PK parameters we "meet" (Cmax, Tmax, dose) are also met by prior art IR minoxidil, making those limitations non-novel.</w:t>
      </w:r>
    </w:p>
    <w:p>
      <w:pPr>
        <w:pStyle w:val="BodyText"/>
      </w:pPr>
      <w:r>
        <w:rPr>
          <w:b/>
          <w:bCs/>
        </w:rPr>
        <w:t xml:space="preserve">Fallback if broad construction:</w:t>
      </w:r>
      <w:r>
        <w:t xml:space="preserve"> </w:t>
      </w:r>
      <w:r>
        <w:t xml:space="preserve">If court construes "release modifier" broadly to include any ER technology, we pivot to invalidity + argue the "way" is different under doctrine of equivalents (no gel, no swelling).</w:t>
      </w:r>
    </w:p>
    <w:bookmarkEnd w:id="23"/>
    <w:bookmarkEnd w:id="24"/>
    <w:bookmarkStart w:id="25" w:name="key-legal-arguments"/>
    <w:p>
      <w:pPr>
        <w:pStyle w:val="Heading3"/>
      </w:pPr>
      <w:r>
        <w:t xml:space="preserve">Key Legal Arguments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If Veradermics Argues...</w:t>
            </w:r>
          </w:p>
        </w:tc>
        <w:tc>
          <w:tcPr/>
          <w:p>
            <w:pPr>
              <w:pStyle w:val="Compact"/>
            </w:pPr>
            <w:r>
              <w:t xml:space="preserve">Our Response</w:t>
            </w:r>
          </w:p>
        </w:tc>
        <w:tc>
          <w:tcPr/>
          <w:p>
            <w:pPr>
              <w:pStyle w:val="Compact"/>
            </w:pPr>
            <w:r>
              <w:t xml:space="preserve">Supporting Case Law</w:t>
            </w:r>
          </w:p>
        </w:tc>
      </w:tr>
      <w:tr>
        <w:tc>
          <w:tcPr/>
          <w:p>
            <w:pPr>
              <w:pStyle w:val="Compact"/>
            </w:pPr>
            <w:r>
              <w:t xml:space="preserve">"Lipids infringe under doctrine of equivalents"</w:t>
            </w:r>
          </w:p>
        </w:tc>
        <w:tc>
          <w:tcPr/>
          <w:p>
            <w:pPr>
              <w:pStyle w:val="Compact"/>
            </w:pPr>
            <w:r>
              <w:t xml:space="preserve">Different "way" - no gel, no swelling, different mechanism</w:t>
            </w:r>
          </w:p>
        </w:tc>
        <w:tc>
          <w:tcPr/>
          <w:p>
            <w:pPr>
              <w:pStyle w:val="Compact"/>
            </w:pPr>
            <w:r>
              <w:rPr>
                <w:i/>
                <w:iCs/>
              </w:rPr>
              <w:t xml:space="preserve">Festo v. Shoketsu</w:t>
            </w:r>
            <w:r>
              <w:t xml:space="preserve">;</w:t>
            </w:r>
            <w:r>
              <w:t xml:space="preserve"> </w:t>
            </w:r>
            <w:r>
              <w:rPr>
                <w:i/>
                <w:iCs/>
              </w:rPr>
              <w:t xml:space="preserve">Wilson Sporting Goods</w:t>
            </w:r>
          </w:p>
        </w:tc>
      </w:tr>
      <w:tr>
        <w:tc>
          <w:tcPr/>
          <w:p>
            <w:pPr>
              <w:pStyle w:val="Compact"/>
            </w:pPr>
            <w:r>
              <w:t xml:space="preserve">"No reasonable expectation of success"</w:t>
            </w:r>
          </w:p>
        </w:tc>
        <w:tc>
          <w:tcPr/>
          <w:p>
            <w:pPr>
              <w:pStyle w:val="Compact"/>
            </w:pPr>
            <w:r>
              <w:t xml:space="preserve">1,404 patients already successfully treated before priority date</w:t>
            </w:r>
          </w:p>
        </w:tc>
        <w:tc>
          <w:tcPr/>
          <w:p>
            <w:pPr>
              <w:pStyle w:val="Compact"/>
            </w:pPr>
            <w:r>
              <w:rPr>
                <w:i/>
                <w:iCs/>
              </w:rPr>
              <w:t xml:space="preserve">In re O'Farrell</w:t>
            </w:r>
            <w:r>
              <w:t xml:space="preserve">;</w:t>
            </w:r>
            <w:r>
              <w:t xml:space="preserve"> </w:t>
            </w:r>
            <w:r>
              <w:rPr>
                <w:i/>
                <w:iCs/>
              </w:rPr>
              <w:t xml:space="preserve">KSR v. Teleflex</w:t>
            </w:r>
          </w:p>
        </w:tc>
      </w:tr>
      <w:tr>
        <w:tc>
          <w:tcPr/>
          <w:p>
            <w:pPr>
              <w:pStyle w:val="Compact"/>
            </w:pPr>
            <w:r>
              <w:t xml:space="preserve">"FDA label teaches away"</w:t>
            </w:r>
          </w:p>
        </w:tc>
        <w:tc>
          <w:tcPr/>
          <w:p>
            <w:pPr>
              <w:pStyle w:val="Compact"/>
            </w:pPr>
            <w:r>
              <w:t xml:space="preserve">Warning is for hypertension, not low-dose hair loss</w:t>
            </w:r>
          </w:p>
        </w:tc>
        <w:tc>
          <w:tcPr/>
          <w:p>
            <w:pPr>
              <w:pStyle w:val="Compact"/>
            </w:pPr>
            <w:r>
              <w:rPr>
                <w:i/>
                <w:iCs/>
              </w:rPr>
              <w:t xml:space="preserve">In re Fulton</w:t>
            </w:r>
            <w:r>
              <w:t xml:space="preserve">;</w:t>
            </w:r>
            <w:r>
              <w:t xml:space="preserve"> </w:t>
            </w:r>
            <w:r>
              <w:rPr>
                <w:i/>
                <w:iCs/>
              </w:rPr>
              <w:t xml:space="preserve">Galderma v. Tolmar</w:t>
            </w:r>
          </w:p>
        </w:tc>
      </w:tr>
      <w:tr>
        <w:tc>
          <w:tcPr/>
          <w:p>
            <w:pPr>
              <w:pStyle w:val="Compact"/>
            </w:pPr>
            <w:r>
              <w:t xml:space="preserve">"Unexpected results"</w:t>
            </w:r>
          </w:p>
        </w:tc>
        <w:tc>
          <w:tcPr/>
          <w:p>
            <w:pPr>
              <w:pStyle w:val="Compact"/>
            </w:pPr>
            <w:r>
              <w:t xml:space="preserve">ER reducing Cmax is the textbook expected result</w:t>
            </w:r>
          </w:p>
        </w:tc>
        <w:tc>
          <w:tcPr/>
          <w:p>
            <w:pPr>
              <w:pStyle w:val="Compact"/>
            </w:pPr>
            <w:r>
              <w:rPr>
                <w:i/>
                <w:iCs/>
              </w:rPr>
              <w:t xml:space="preserve">In re Aller</w:t>
            </w:r>
            <w:r>
              <w:t xml:space="preserve">;</w:t>
            </w:r>
            <w:r>
              <w:t xml:space="preserve"> </w:t>
            </w:r>
            <w:r>
              <w:rPr>
                <w:i/>
                <w:iCs/>
              </w:rPr>
              <w:t xml:space="preserve">Persion v. Alvogen</w:t>
            </w:r>
          </w:p>
        </w:tc>
      </w:tr>
    </w:tbl>
    <w:bookmarkEnd w:id="25"/>
    <w:bookmarkStart w:id="26" w:name="litigation-cost-scenarios"/>
    <w:p>
      <w:pPr>
        <w:pStyle w:val="Heading3"/>
      </w:pPr>
      <w:r>
        <w:t xml:space="preserve">Litigation Cost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Estimated Cost</w:t>
            </w:r>
          </w:p>
        </w:tc>
        <w:tc>
          <w:tcPr/>
          <w:p>
            <w:pPr>
              <w:pStyle w:val="Compact"/>
            </w:pPr>
            <w:r>
              <w:t xml:space="preserve">Likelihood</w:t>
            </w:r>
          </w:p>
        </w:tc>
      </w:tr>
      <w:tr>
        <w:tc>
          <w:tcPr/>
          <w:p>
            <w:pPr>
              <w:pStyle w:val="Compact"/>
            </w:pPr>
            <w:r>
              <w:t xml:space="preserve">No lawsuit (fly under radar / settled)</w:t>
            </w:r>
          </w:p>
        </w:tc>
        <w:tc>
          <w:tcPr/>
          <w:p>
            <w:pPr>
              <w:pStyle w:val="Compact"/>
            </w:pPr>
            <w:r>
              <w:t xml:space="preserve">$30K-50K (IPR only)</w:t>
            </w:r>
          </w:p>
        </w:tc>
        <w:tc>
          <w:tcPr/>
          <w:p>
            <w:pPr>
              <w:pStyle w:val="Compact"/>
            </w:pPr>
            <w:r>
              <w:t xml:space="preserve">40%</w:t>
            </w:r>
          </w:p>
        </w:tc>
      </w:tr>
      <w:tr>
        <w:tc>
          <w:tcPr/>
          <w:p>
            <w:pPr>
              <w:pStyle w:val="Compact"/>
            </w:pPr>
            <w:r>
              <w:t xml:space="preserve">Early settlement (pre-discovery)</w:t>
            </w:r>
          </w:p>
        </w:tc>
        <w:tc>
          <w:tcPr/>
          <w:p>
            <w:pPr>
              <w:pStyle w:val="Compact"/>
            </w:pPr>
            <w:r>
              <w:t xml:space="preserve">$150K-230K</w:t>
            </w:r>
          </w:p>
        </w:tc>
        <w:tc>
          <w:tcPr/>
          <w:p>
            <w:pPr>
              <w:pStyle w:val="Compact"/>
            </w:pPr>
            <w:r>
              <w:t xml:space="preserve">25%</w:t>
            </w:r>
          </w:p>
        </w:tc>
      </w:tr>
      <w:tr>
        <w:tc>
          <w:tcPr/>
          <w:p>
            <w:pPr>
              <w:pStyle w:val="Compact"/>
            </w:pPr>
            <w:r>
              <w:t xml:space="preserve">Settlement during litigation</w:t>
            </w:r>
          </w:p>
        </w:tc>
        <w:tc>
          <w:tcPr/>
          <w:p>
            <w:pPr>
              <w:pStyle w:val="Compact"/>
            </w:pPr>
            <w:r>
              <w:t xml:space="preserve">$400K-800K</w:t>
            </w:r>
          </w:p>
        </w:tc>
        <w:tc>
          <w:tcPr/>
          <w:p>
            <w:pPr>
              <w:pStyle w:val="Compact"/>
            </w:pPr>
            <w:r>
              <w:t xml:space="preserve">20%</w:t>
            </w:r>
          </w:p>
        </w:tc>
      </w:tr>
      <w:tr>
        <w:tc>
          <w:tcPr/>
          <w:p>
            <w:pPr>
              <w:pStyle w:val="Compact"/>
            </w:pPr>
            <w:r>
              <w:t xml:space="preserve">Full trial</w:t>
            </w:r>
          </w:p>
        </w:tc>
        <w:tc>
          <w:tcPr/>
          <w:p>
            <w:pPr>
              <w:pStyle w:val="Compact"/>
            </w:pPr>
            <w:r>
              <w:t xml:space="preserve">$1.5M-2M+</w:t>
            </w:r>
          </w:p>
        </w:tc>
        <w:tc>
          <w:tcPr/>
          <w:p>
            <w:pPr>
              <w:pStyle w:val="Compact"/>
            </w:pPr>
            <w:r>
              <w:t xml:space="preserve">15%</w:t>
            </w:r>
          </w:p>
        </w:tc>
      </w:tr>
    </w:tbl>
    <w:p>
      <w:r>
        <w:pict>
          <v:rect style="width:0;height:1.5pt" o:hralign="center" o:hrstd="t" o:hr="t"/>
        </w:pict>
      </w:r>
    </w:p>
    <w:bookmarkEnd w:id="26"/>
    <w:bookmarkEnd w:id="27"/>
    <w:bookmarkStart w:id="30" w:name="roadmap"/>
    <w:p>
      <w:pPr>
        <w:pStyle w:val="Heading2"/>
      </w:pPr>
      <w:r>
        <w:t xml:space="preserve">4. Execution Roadmap</w:t>
      </w:r>
    </w:p>
    <w:p>
      <w:pPr>
        <w:pStyle w:val="FirstParagraph"/>
      </w:pPr>
      <w:r>
        <w:t xml:space="preserve">1</w:t>
      </w:r>
    </w:p>
    <w:p>
      <w:pPr>
        <w:pStyle w:val="BodyText"/>
      </w:pPr>
      <w:r>
        <w:t xml:space="preserve">Formulation Development (Weeks 1-4)</w:t>
      </w:r>
    </w:p>
    <w:p>
      <w:pPr>
        <w:pStyle w:val="BodyText"/>
      </w:pPr>
      <w:r>
        <w:t xml:space="preserve">Make test batches, run dissolution testing, iterate until profile meets spec. Cost: $2-5K</w:t>
      </w:r>
    </w:p>
    <w:p>
      <w:pPr>
        <w:pStyle w:val="BodyText"/>
      </w:pPr>
      <w:r>
        <w:t xml:space="preserve">2</w:t>
      </w:r>
    </w:p>
    <w:p>
      <w:pPr>
        <w:pStyle w:val="BodyText"/>
      </w:pPr>
      <w:r>
        <w:t xml:space="preserve">Analytical &amp; QC (Weeks 2-4)</w:t>
      </w:r>
    </w:p>
    <w:p>
      <w:pPr>
        <w:pStyle w:val="BodyText"/>
      </w:pPr>
      <w:r>
        <w:t xml:space="preserve">Assay (95-105%), content uniformity (AV ≤15), physical tests. Cost: $3-8K</w:t>
      </w:r>
    </w:p>
    <w:p>
      <w:pPr>
        <w:pStyle w:val="BodyText"/>
      </w:pPr>
      <w:r>
        <w:t xml:space="preserve">3</w:t>
      </w:r>
    </w:p>
    <w:p>
      <w:pPr>
        <w:pStyle w:val="BodyText"/>
      </w:pPr>
      <w:r>
        <w:t xml:space="preserve">Stability Testing (Weeks 4+ ongoing)</w:t>
      </w:r>
    </w:p>
    <w:p>
      <w:pPr>
        <w:pStyle w:val="BodyText"/>
      </w:pPr>
      <w:r>
        <w:t xml:space="preserve">Accelerated (40°C/75% RH) and real-time stability. Need 1-month data before human use. Cost: $2-5K</w:t>
      </w:r>
    </w:p>
    <w:p>
      <w:pPr>
        <w:pStyle w:val="BodyText"/>
      </w:pPr>
      <w:r>
        <w:t xml:space="preserve">4</w:t>
      </w:r>
    </w:p>
    <w:p>
      <w:pPr>
        <w:pStyle w:val="BodyText"/>
      </w:pPr>
      <w:r>
        <w:t xml:space="preserve">Human PK Testing (Weeks 6-8)</w:t>
      </w:r>
    </w:p>
    <w:p>
      <w:pPr>
        <w:pStyle w:val="BodyText"/>
      </w:pPr>
      <w:r>
        <w:t xml:space="preserve">Physician self-test: fasted and fed PK profiles. 9 blood draws each. Cost: $1.5-4K</w:t>
      </w:r>
    </w:p>
    <w:p>
      <w:pPr>
        <w:pStyle w:val="BodyText"/>
      </w:pPr>
      <w:r>
        <w:t xml:space="preserve">5</w:t>
      </w:r>
    </w:p>
    <w:p>
      <w:pPr>
        <w:pStyle w:val="BodyText"/>
      </w:pPr>
      <w:r>
        <w:t xml:space="preserve">Compounding Setup (Weeks 5-8)</w:t>
      </w:r>
    </w:p>
    <w:p>
      <w:pPr>
        <w:pStyle w:val="BodyText"/>
      </w:pPr>
      <w:r>
        <w:t xml:space="preserve">Tech transfer to pharmacy, qualification batch, prescriber setup. Cost: $1-3K</w:t>
      </w:r>
    </w:p>
    <w:bookmarkStart w:id="28" w:name="formal-decision-gates"/>
    <w:p>
      <w:pPr>
        <w:pStyle w:val="Heading4"/>
      </w:pPr>
      <w:r>
        <w:t xml:space="preserve">Formal Decision Gates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Criteria</w:t>
            </w:r>
          </w:p>
        </w:tc>
        <w:tc>
          <w:tcPr/>
          <w:p>
            <w:pPr>
              <w:pStyle w:val="Compact"/>
            </w:pPr>
            <w:r>
              <w:t xml:space="preserve">If FAIL</w:t>
            </w:r>
          </w:p>
        </w:tc>
      </w:tr>
      <w:tr>
        <w:tc>
          <w:tcPr/>
          <w:p>
            <w:pPr>
              <w:pStyle w:val="Compact"/>
            </w:pPr>
            <w:r>
              <w:rPr>
                <w:b/>
                <w:bCs/>
              </w:rPr>
              <w:t xml:space="preserve">Gate 1: Dissolution</w:t>
            </w:r>
          </w:p>
        </w:tc>
        <w:tc>
          <w:tcPr/>
          <w:p>
            <w:pPr>
              <w:pStyle w:val="Compact"/>
            </w:pPr>
            <w:r>
              <w:t xml:space="preserve">15-25% (1h), 40-55% (4h), &gt;75% (12h)</w:t>
            </w:r>
          </w:p>
        </w:tc>
        <w:tc>
          <w:tcPr/>
          <w:p>
            <w:pPr>
              <w:pStyle w:val="Compact"/>
            </w:pPr>
            <w:r>
              <w:t xml:space="preserve">Reformulate; max 4 iterations</w:t>
            </w:r>
          </w:p>
        </w:tc>
      </w:tr>
      <w:tr>
        <w:tc>
          <w:tcPr/>
          <w:p>
            <w:pPr>
              <w:pStyle w:val="Compact"/>
            </w:pPr>
            <w:r>
              <w:rPr>
                <w:b/>
                <w:bCs/>
              </w:rPr>
              <w:t xml:space="preserve">Gate 2: Stability</w:t>
            </w:r>
          </w:p>
        </w:tc>
        <w:tc>
          <w:tcPr/>
          <w:p>
            <w:pPr>
              <w:pStyle w:val="Compact"/>
            </w:pPr>
            <w:r>
              <w:t xml:space="preserve">1-month accelerated: dissolution ±10%, assay &gt;95%</w:t>
            </w:r>
          </w:p>
        </w:tc>
        <w:tc>
          <w:tcPr/>
          <w:p>
            <w:pPr>
              <w:pStyle w:val="Compact"/>
            </w:pPr>
            <w:r>
              <w:t xml:space="preserve">Add annealing; if still fails, evaluate MUPS</w:t>
            </w:r>
          </w:p>
        </w:tc>
      </w:tr>
      <w:tr>
        <w:tc>
          <w:tcPr/>
          <w:p>
            <w:pPr>
              <w:pStyle w:val="Compact"/>
            </w:pPr>
            <w:r>
              <w:rPr>
                <w:b/>
                <w:bCs/>
              </w:rPr>
              <w:t xml:space="preserve">Gate 3: FOOD EFFECT (HARD)</w:t>
            </w:r>
          </w:p>
        </w:tc>
        <w:tc>
          <w:tcPr/>
          <w:p>
            <w:pPr>
              <w:pStyle w:val="Compact"/>
            </w:pPr>
            <w:r>
              <w:rPr>
                <w:b/>
                <w:bCs/>
              </w:rPr>
              <w:t xml:space="preserve">Fed Cmax ≤150% of Fasted Cmax</w:t>
            </w:r>
          </w:p>
        </w:tc>
        <w:tc>
          <w:tcPr/>
          <w:p>
            <w:pPr>
              <w:pStyle w:val="Compact"/>
            </w:pPr>
            <w:r>
              <w:rPr>
                <w:b/>
                <w:bCs/>
              </w:rPr>
              <w:t xml:space="preserve">PIVOT TO MUPS BACKUP</w:t>
            </w:r>
          </w:p>
        </w:tc>
      </w:tr>
      <w:tr>
        <w:tc>
          <w:tcPr/>
          <w:p>
            <w:pPr>
              <w:pStyle w:val="Compact"/>
            </w:pPr>
            <w:r>
              <w:rPr>
                <w:b/>
                <w:bCs/>
              </w:rPr>
              <w:t xml:space="preserve">Gate 4: Human PK</w:t>
            </w:r>
          </w:p>
        </w:tc>
        <w:tc>
          <w:tcPr/>
          <w:p>
            <w:pPr>
              <w:pStyle w:val="Compact"/>
            </w:pPr>
            <w:r>
              <w:t xml:space="preserve">Fasted Cmax 5-12 ng/mL; Tmax 1.5-5h</w:t>
            </w:r>
          </w:p>
        </w:tc>
        <w:tc>
          <w:tcPr/>
          <w:p>
            <w:pPr>
              <w:pStyle w:val="Compact"/>
            </w:pPr>
            <w:r>
              <w:t xml:space="preserve">Adjust release rate</w:t>
            </w:r>
          </w:p>
        </w:tc>
      </w:tr>
    </w:tbl>
    <w:p>
      <w:pPr>
        <w:pStyle w:val="BodyText"/>
      </w:pPr>
      <w:r>
        <w:rPr>
          <w:b/>
          <w:bCs/>
        </w:rPr>
        <w:t xml:space="preserve">Gate 3 is non-negotiable.</w:t>
      </w:r>
      <w:r>
        <w:t xml:space="preserve"> </w:t>
      </w:r>
      <w:r>
        <w:t xml:space="preserve">If food effect exceeds 150%, lipid matrix is unsuitable for real-world use. Pivot immediately to MUPS.</w:t>
      </w:r>
    </w:p>
    <w:bookmarkEnd w:id="28"/>
    <w:bookmarkStart w:id="29" w:name="additional-milestones"/>
    <w:p>
      <w:pPr>
        <w:pStyle w:val="Heading4"/>
      </w:pPr>
      <w:r>
        <w:t xml:space="preserve">Additional Milestones</w:t>
      </w:r>
    </w:p>
    <w:p>
      <w:pPr>
        <w:pStyle w:val="Compact"/>
        <w:numPr>
          <w:ilvl w:val="0"/>
          <w:numId w:val="1008"/>
        </w:numPr>
      </w:pPr>
      <w:r>
        <w:rPr>
          <w:b/>
          <w:bCs/>
        </w:rPr>
        <w:t xml:space="preserve">Go/No-Go #1:</w:t>
      </w:r>
      <w:r>
        <w:t xml:space="preserve"> </w:t>
      </w:r>
      <w:r>
        <w:t xml:space="preserve">Dissolution meets 15-20% (1h), 40-50% (4h), &gt;80% (12h)</w:t>
      </w:r>
    </w:p>
    <w:p>
      <w:pPr>
        <w:pStyle w:val="Compact"/>
        <w:numPr>
          <w:ilvl w:val="0"/>
          <w:numId w:val="1008"/>
        </w:numPr>
      </w:pPr>
      <w:r>
        <w:rPr>
          <w:b/>
          <w:bCs/>
        </w:rPr>
        <w:t xml:space="preserve">Go/No-Go #2:</w:t>
      </w:r>
      <w:r>
        <w:t xml:space="preserve"> </w:t>
      </w:r>
      <w:r>
        <w:t xml:space="preserve">1-month accelerated stability shows no significant change</w:t>
      </w:r>
    </w:p>
    <w:p>
      <w:pPr>
        <w:pStyle w:val="Compact"/>
        <w:numPr>
          <w:ilvl w:val="0"/>
          <w:numId w:val="1008"/>
        </w:numPr>
      </w:pPr>
      <w:r>
        <w:rPr>
          <w:b/>
          <w:bCs/>
        </w:rPr>
        <w:t xml:space="preserve">Go/No-Go #3:</w:t>
      </w:r>
      <w:r>
        <w:t xml:space="preserve"> </w:t>
      </w:r>
      <w:r>
        <w:t xml:space="preserve">Human PK shows Cmax 6-10 ng/mL, Tmax 2-4h</w:t>
      </w:r>
    </w:p>
    <w:bookmarkEnd w:id="29"/>
    <w:p>
      <w:r>
        <w:pict>
          <v:rect style="width:0;height:1.5pt" o:hralign="center" o:hrstd="t" o:hr="t"/>
        </w:pict>
      </w:r>
    </w:p>
    <w:bookmarkEnd w:id="30"/>
    <w:bookmarkStart w:id="33" w:name="costs"/>
    <w:p>
      <w:pPr>
        <w:pStyle w:val="Heading2"/>
      </w:pPr>
      <w:r>
        <w:t xml:space="preserve">5. Costs &amp; Budget</w:t>
      </w:r>
    </w:p>
    <w:bookmarkStart w:id="31" w:name="development-budget-without-animal-pk"/>
    <w:p>
      <w:pPr>
        <w:pStyle w:val="Heading3"/>
      </w:pPr>
      <w:r>
        <w:t xml:space="preserve">Development Budget (Without Animal PK)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Low</w:t>
            </w:r>
          </w:p>
        </w:tc>
        <w:tc>
          <w:tcPr/>
          <w:p>
            <w:pPr>
              <w:pStyle w:val="Compact"/>
            </w:pPr>
            <w:r>
              <w:t xml:space="preserve">High</w:t>
            </w:r>
          </w:p>
        </w:tc>
      </w:tr>
      <w:tr>
        <w:tc>
          <w:tcPr/>
          <w:p>
            <w:pPr>
              <w:pStyle w:val="Compact"/>
            </w:pPr>
            <w:r>
              <w:t xml:space="preserve">Excipients &amp; API</w:t>
            </w:r>
          </w:p>
        </w:tc>
        <w:tc>
          <w:tcPr/>
          <w:p>
            <w:pPr>
              <w:pStyle w:val="Compact"/>
            </w:pPr>
            <w:r>
              <w:t xml:space="preserve">$500</w:t>
            </w:r>
          </w:p>
        </w:tc>
        <w:tc>
          <w:tcPr/>
          <w:p>
            <w:pPr>
              <w:pStyle w:val="Compact"/>
            </w:pPr>
            <w:r>
              <w:t xml:space="preserve">$1,500</w:t>
            </w:r>
          </w:p>
        </w:tc>
      </w:tr>
      <w:tr>
        <w:tc>
          <w:tcPr/>
          <w:p>
            <w:pPr>
              <w:pStyle w:val="Compact"/>
            </w:pPr>
            <w:r>
              <w:t xml:space="preserve">Dissolution testing (15-20 runs)</w:t>
            </w:r>
          </w:p>
        </w:tc>
        <w:tc>
          <w:tcPr/>
          <w:p>
            <w:pPr>
              <w:pStyle w:val="Compact"/>
            </w:pPr>
            <w:r>
              <w:t xml:space="preserve">$1,000</w:t>
            </w:r>
          </w:p>
        </w:tc>
        <w:tc>
          <w:tcPr/>
          <w:p>
            <w:pPr>
              <w:pStyle w:val="Compact"/>
            </w:pPr>
            <w:r>
              <w:t xml:space="preserve">$4,000</w:t>
            </w:r>
          </w:p>
        </w:tc>
      </w:tr>
      <w:tr>
        <w:tc>
          <w:tcPr/>
          <w:p>
            <w:pPr>
              <w:pStyle w:val="Compact"/>
            </w:pPr>
            <w:r>
              <w:t xml:space="preserve">Assay &amp; content uniformity</w:t>
            </w:r>
          </w:p>
        </w:tc>
        <w:tc>
          <w:tcPr/>
          <w:p>
            <w:pPr>
              <w:pStyle w:val="Compact"/>
            </w:pPr>
            <w:r>
              <w:t xml:space="preserve">$500</w:t>
            </w:r>
          </w:p>
        </w:tc>
        <w:tc>
          <w:tcPr/>
          <w:p>
            <w:pPr>
              <w:pStyle w:val="Compact"/>
            </w:pPr>
            <w:r>
              <w:t xml:space="preserve">$2,000</w:t>
            </w:r>
          </w:p>
        </w:tc>
      </w:tr>
      <w:tr>
        <w:tc>
          <w:tcPr/>
          <w:p>
            <w:pPr>
              <w:pStyle w:val="Compact"/>
            </w:pPr>
            <w:r>
              <w:t xml:space="preserve">Human PK (bioanalytical)</w:t>
            </w:r>
          </w:p>
        </w:tc>
        <w:tc>
          <w:tcPr/>
          <w:p>
            <w:pPr>
              <w:pStyle w:val="Compact"/>
            </w:pPr>
            <w:r>
              <w:t xml:space="preserve">$1,350</w:t>
            </w:r>
          </w:p>
        </w:tc>
        <w:tc>
          <w:tcPr/>
          <w:p>
            <w:pPr>
              <w:pStyle w:val="Compact"/>
            </w:pPr>
            <w:r>
              <w:t xml:space="preserve">$2,700</w:t>
            </w:r>
          </w:p>
        </w:tc>
      </w:tr>
      <w:tr>
        <w:tc>
          <w:tcPr/>
          <w:p>
            <w:pPr>
              <w:pStyle w:val="Compact"/>
            </w:pPr>
            <w:r>
              <w:t xml:space="preserve">Stability testing</w:t>
            </w:r>
          </w:p>
        </w:tc>
        <w:tc>
          <w:tcPr/>
          <w:p>
            <w:pPr>
              <w:pStyle w:val="Compact"/>
            </w:pPr>
            <w:r>
              <w:t xml:space="preserve">$1,500</w:t>
            </w:r>
          </w:p>
        </w:tc>
        <w:tc>
          <w:tcPr/>
          <w:p>
            <w:pPr>
              <w:pStyle w:val="Compact"/>
            </w:pPr>
            <w:r>
              <w:t xml:space="preserve">$4,000</w:t>
            </w:r>
          </w:p>
        </w:tc>
      </w:tr>
      <w:tr>
        <w:tc>
          <w:tcPr/>
          <w:p>
            <w:pPr>
              <w:pStyle w:val="Compact"/>
            </w:pPr>
            <w:r>
              <w:t xml:space="preserve">Pharmacy tech transfer</w:t>
            </w:r>
          </w:p>
        </w:tc>
        <w:tc>
          <w:tcPr/>
          <w:p>
            <w:pPr>
              <w:pStyle w:val="Compact"/>
            </w:pPr>
            <w:r>
              <w:t xml:space="preserve">$500</w:t>
            </w:r>
          </w:p>
        </w:tc>
        <w:tc>
          <w:tcPr/>
          <w:p>
            <w:pPr>
              <w:pStyle w:val="Compact"/>
            </w:pPr>
            <w:r>
              <w:t xml:space="preserve">$2,000</w:t>
            </w:r>
          </w:p>
        </w:tc>
      </w:tr>
      <w:tr>
        <w:tc>
          <w:tcPr/>
          <w:p>
            <w:pPr>
              <w:pStyle w:val="Compact"/>
            </w:pPr>
            <w:r>
              <w:t xml:space="preserve">Contingency (20%)</w:t>
            </w:r>
          </w:p>
        </w:tc>
        <w:tc>
          <w:tcPr/>
          <w:p>
            <w:pPr>
              <w:pStyle w:val="Compact"/>
            </w:pPr>
            <w:r>
              <w:t xml:space="preserve">$1,100</w:t>
            </w:r>
          </w:p>
        </w:tc>
        <w:tc>
          <w:tcPr/>
          <w:p>
            <w:pPr>
              <w:pStyle w:val="Compact"/>
            </w:pPr>
            <w:r>
              <w:t xml:space="preserve">$3,200</w:t>
            </w:r>
          </w:p>
        </w:tc>
      </w:tr>
      <w:tr>
        <w:tc>
          <w:tcPr/>
          <w:p>
            <w:pPr>
              <w:pStyle w:val="Compact"/>
            </w:pPr>
            <w:r>
              <w:t xml:space="preserve">TOTAL</w:t>
            </w:r>
          </w:p>
        </w:tc>
        <w:tc>
          <w:tcPr/>
          <w:p>
            <w:pPr>
              <w:pStyle w:val="Compact"/>
            </w:pPr>
            <w:r>
              <w:t xml:space="preserve">$6,450</w:t>
            </w:r>
          </w:p>
        </w:tc>
        <w:tc>
          <w:tcPr/>
          <w:p>
            <w:pPr>
              <w:pStyle w:val="Compact"/>
            </w:pPr>
            <w:r>
              <w:t xml:space="preserve">$19,400</w:t>
            </w:r>
          </w:p>
        </w:tc>
      </w:tr>
    </w:tbl>
    <w:bookmarkEnd w:id="31"/>
    <w:bookmarkStart w:id="32" w:name="optional-animal-pk"/>
    <w:p>
      <w:pPr>
        <w:pStyle w:val="Heading3"/>
      </w:pPr>
      <w:r>
        <w:t xml:space="preserve">Optional Animal PK</w:t>
      </w:r>
    </w:p>
    <w:p>
      <w:pPr>
        <w:pStyle w:val="FirstParagraph"/>
      </w:pPr>
      <w:r>
        <w:t xml:space="preserve">Dog PK study (6 beagles, crossover design):</w:t>
      </w:r>
      <w:r>
        <w:t xml:space="preserve"> </w:t>
      </w:r>
      <w:r>
        <w:rPr>
          <w:b/>
          <w:bCs/>
        </w:rPr>
        <w:t xml:space="preserve">$25,000-50,000</w:t>
      </w:r>
    </w:p>
    <w:p>
      <w:pPr>
        <w:pStyle w:val="BodyText"/>
      </w:pPr>
      <w:r>
        <w:rPr>
          <w:i/>
          <w:iCs/>
        </w:rPr>
        <w:t xml:space="preserve">Recommended to skip in favor of human PK testing - faster, cheaper, more relevant.</w:t>
      </w:r>
    </w:p>
    <w:p>
      <w:r>
        <w:pict>
          <v:rect style="width:0;height:1.5pt" o:hralign="center" o:hrstd="t" o:hr="t"/>
        </w:pict>
      </w:r>
    </w:p>
    <w:bookmarkEnd w:id="32"/>
    <w:bookmarkEnd w:id="33"/>
    <w:bookmarkStart w:id="38" w:name="docs"/>
    <w:p>
      <w:pPr>
        <w:pStyle w:val="Heading2"/>
      </w:pPr>
      <w:r>
        <w:t xml:space="preserve">6. Detailed Documentation</w:t>
      </w:r>
    </w:p>
    <w:bookmarkStart w:id="34" w:name="technical-documents"/>
    <w:p>
      <w:pPr>
        <w:pStyle w:val="Heading3"/>
      </w:pPr>
      <w:r>
        <w:t xml:space="preserve">Technical Documents</w:t>
      </w:r>
    </w:p>
    <w:p>
      <w:pPr>
        <w:pStyle w:val="FirstParagraph"/>
      </w:pPr>
      <w:r>
        <w:t xml:space="preserve">Lipid_Matrix_Formulation_Protocol.html</w:t>
      </w:r>
    </w:p>
    <w:p>
      <w:pPr>
        <w:pStyle w:val="BodyText"/>
      </w:pPr>
      <w:r>
        <w:t xml:space="preserve">Complete manufacturing protocol with step-by-step instructions, troubleshooting guide</w:t>
      </w:r>
    </w:p>
    <w:p>
      <w:pPr>
        <w:pStyle w:val="BodyText"/>
      </w:pPr>
      <w:r>
        <w:t xml:space="preserve">Technical</w:t>
      </w:r>
    </w:p>
    <w:p>
      <w:pPr>
        <w:pStyle w:val="BodyText"/>
      </w:pPr>
      <w:r>
        <w:t xml:space="preserve">Execution_Roadmap.html</w:t>
      </w:r>
    </w:p>
    <w:p>
      <w:pPr>
        <w:pStyle w:val="BodyText"/>
      </w:pPr>
      <w:r>
        <w:t xml:space="preserve">Detailed roadmap with Phase 4B human PK protocol, dissolution specs, bioanalytical specs</w:t>
      </w:r>
    </w:p>
    <w:p>
      <w:pPr>
        <w:pStyle w:val="BodyText"/>
      </w:pPr>
      <w:r>
        <w:t xml:space="preserve">Execution</w:t>
      </w:r>
    </w:p>
    <w:p>
      <w:pPr>
        <w:pStyle w:val="BodyText"/>
      </w:pPr>
      <w:r>
        <w:t xml:space="preserve">Final_Recommendation.html</w:t>
      </w:r>
    </w:p>
    <w:p>
      <w:pPr>
        <w:pStyle w:val="BodyText"/>
      </w:pPr>
      <w:r>
        <w:t xml:space="preserve">Analysis comparing lipid matrix vs MUPS - why lipid matrix is the winner</w:t>
      </w:r>
    </w:p>
    <w:p>
      <w:pPr>
        <w:pStyle w:val="BodyText"/>
      </w:pPr>
      <w:r>
        <w:t xml:space="preserve">Technical</w:t>
      </w:r>
    </w:p>
    <w:p>
      <w:pPr>
        <w:pStyle w:val="BodyText"/>
      </w:pPr>
      <w:r>
        <w:t xml:space="preserve">PK_Analysis_Patent_Differentiation.html</w:t>
      </w:r>
    </w:p>
    <w:p>
      <w:pPr>
        <w:pStyle w:val="BodyText"/>
      </w:pPr>
      <w:r>
        <w:t xml:space="preserve">PK thresholds, therapeutic window analysis, patent claim mapping</w:t>
      </w:r>
    </w:p>
    <w:p>
      <w:pPr>
        <w:pStyle w:val="BodyText"/>
      </w:pPr>
      <w:r>
        <w:t xml:space="preserve">Technical</w:t>
      </w:r>
    </w:p>
    <w:bookmarkEnd w:id="34"/>
    <w:bookmarkStart w:id="35" w:name="legal-documents"/>
    <w:p>
      <w:pPr>
        <w:pStyle w:val="Heading3"/>
      </w:pPr>
      <w:r>
        <w:t xml:space="preserve">Legal Documents</w:t>
      </w:r>
    </w:p>
    <w:p>
      <w:pPr>
        <w:pStyle w:val="FirstParagraph"/>
      </w:pPr>
      <w:r>
        <w:t xml:space="preserve">IPR_Petition_Draft.html</w:t>
      </w:r>
    </w:p>
    <w:p>
      <w:pPr>
        <w:pStyle w:val="BodyText"/>
      </w:pPr>
      <w:r>
        <w:t xml:space="preserve">Inter Partes Review petition with claim charts, prior art analysis, litigation strategy appendix</w:t>
      </w:r>
    </w:p>
    <w:p>
      <w:pPr>
        <w:pStyle w:val="BodyText"/>
      </w:pPr>
      <w:r>
        <w:t xml:space="preserve">Legal</w:t>
      </w:r>
    </w:p>
    <w:p>
      <w:pPr>
        <w:pStyle w:val="BodyText"/>
      </w:pPr>
      <w:r>
        <w:t xml:space="preserve">Counter_Arguments_Master_Brief.html</w:t>
      </w:r>
    </w:p>
    <w:p>
      <w:pPr>
        <w:pStyle w:val="BodyText"/>
      </w:pPr>
      <w:r>
        <w:t xml:space="preserve">Comprehensive counter-arguments to all 7 Veradermics defenses with case law</w:t>
      </w:r>
    </w:p>
    <w:p>
      <w:pPr>
        <w:pStyle w:val="BodyText"/>
      </w:pPr>
      <w:r>
        <w:t xml:space="preserve">Legal</w:t>
      </w:r>
    </w:p>
    <w:p>
      <w:pPr>
        <w:pStyle w:val="BodyText"/>
      </w:pPr>
      <w:r>
        <w:t xml:space="preserve">Veradermics_Steelman_Analysis.html</w:t>
      </w:r>
    </w:p>
    <w:p>
      <w:pPr>
        <w:pStyle w:val="BodyText"/>
      </w:pPr>
      <w:r>
        <w:t xml:space="preserve">Adversarial analysis - Veradermics' strongest arguments and our weaknesses</w:t>
      </w:r>
    </w:p>
    <w:p>
      <w:pPr>
        <w:pStyle w:val="BodyText"/>
      </w:pPr>
      <w:r>
        <w:t xml:space="preserve">Legal</w:t>
      </w:r>
    </w:p>
    <w:p>
      <w:pPr>
        <w:pStyle w:val="BodyText"/>
      </w:pPr>
      <w:r>
        <w:t xml:space="preserve">FTO_Analysis_Lipid_Matrix.html</w:t>
      </w:r>
    </w:p>
    <w:p>
      <w:pPr>
        <w:pStyle w:val="BodyText"/>
      </w:pPr>
      <w:r>
        <w:t xml:space="preserve">Freedom-to-operate analysis for lipid matrix approach</w:t>
      </w:r>
    </w:p>
    <w:p>
      <w:pPr>
        <w:pStyle w:val="BodyText"/>
      </w:pPr>
      <w:r>
        <w:t xml:space="preserve">Legal</w:t>
      </w:r>
    </w:p>
    <w:bookmarkEnd w:id="35"/>
    <w:bookmarkStart w:id="36" w:name="supporting-documents"/>
    <w:p>
      <w:pPr>
        <w:pStyle w:val="Heading3"/>
      </w:pPr>
      <w:r>
        <w:t xml:space="preserve">Supporting Documents</w:t>
      </w:r>
    </w:p>
    <w:p>
      <w:pPr>
        <w:pStyle w:val="FirstParagraph"/>
      </w:pPr>
      <w:r>
        <w:t xml:space="preserve">Technology_Precedent_Report.html</w:t>
      </w:r>
    </w:p>
    <w:p>
      <w:pPr>
        <w:pStyle w:val="BodyText"/>
      </w:pPr>
      <w:r>
        <w:t xml:space="preserve">Prior art technology survey and precedent analysis</w:t>
      </w:r>
    </w:p>
    <w:p>
      <w:pPr>
        <w:pStyle w:val="BodyText"/>
      </w:pPr>
      <w:r>
        <w:t xml:space="preserve">Technical</w:t>
      </w:r>
    </w:p>
    <w:p>
      <w:pPr>
        <w:pStyle w:val="BodyText"/>
      </w:pPr>
      <w:r>
        <w:t xml:space="preserve">Release_Rate_Control_Strategies.html</w:t>
      </w:r>
    </w:p>
    <w:p>
      <w:pPr>
        <w:pStyle w:val="BodyText"/>
      </w:pPr>
      <w:r>
        <w:t xml:space="preserve">Options for adjusting release profile (if too fast/slow)</w:t>
      </w:r>
    </w:p>
    <w:p>
      <w:pPr>
        <w:pStyle w:val="BodyText"/>
      </w:pPr>
      <w:r>
        <w:t xml:space="preserve">Technical</w:t>
      </w:r>
    </w:p>
    <w:p>
      <w:pPr>
        <w:pStyle w:val="BodyText"/>
      </w:pPr>
      <w:r>
        <w:t xml:space="preserve">Lipid_Matrix_Risks.html</w:t>
      </w:r>
    </w:p>
    <w:p>
      <w:pPr>
        <w:pStyle w:val="BodyText"/>
      </w:pPr>
      <w:r>
        <w:t xml:space="preserve">Technical risk assessment and mitigation strategies</w:t>
      </w:r>
    </w:p>
    <w:p>
      <w:pPr>
        <w:pStyle w:val="BodyText"/>
      </w:pPr>
      <w:r>
        <w:t xml:space="preserve">Technical</w:t>
      </w:r>
    </w:p>
    <w:p>
      <w:r>
        <w:pict>
          <v:rect style="width:0;height:1.5pt" o:hralign="center" o:hrstd="t" o:hr="t"/>
        </w:pict>
      </w:r>
    </w:p>
    <w:bookmarkEnd w:id="36"/>
    <w:bookmarkStart w:id="37" w:name="bottom-line"/>
    <w:p>
      <w:pPr>
        <w:pStyle w:val="Heading3"/>
      </w:pPr>
      <w:r>
        <w:t xml:space="preserve">Bottom Line</w:t>
      </w:r>
    </w:p>
    <w:p>
      <w:pPr>
        <w:pStyle w:val="FirstParagraph"/>
      </w:pPr>
      <w:r>
        <w:t xml:space="preserve">A lipid matrix ER minoxidil product can be developed in 8-10 weeks for $8-21K, with strong freedom-to-operate defense against Veradermics' patent. The technology is different, the mechanism is different, and the prior art supports invalidity arguments. Combined with the proven clinical efficacy of oral minoxidil, this represents a viable path to market.</w:t>
      </w:r>
    </w:p>
    <w:bookmarkEnd w:id="37"/>
    <w:p>
      <w:r>
        <w:pict>
          <v:rect style="width:0;height:1.5pt" o:hralign="center" o:hrstd="t" o:hr="t"/>
        </w:pict>
      </w:r>
    </w:p>
    <w:p>
      <w:pPr>
        <w:pStyle w:val="FirstParagraph"/>
      </w:pPr>
      <w:r>
        <w:rPr>
          <w:b/>
          <w:bCs/>
        </w:rPr>
        <w:t xml:space="preserve">Document prepared:</w:t>
      </w:r>
      <w:r>
        <w:t xml:space="preserve"> </w:t>
      </w:r>
      <w:r>
        <w:t xml:space="preserve">February 5, 2026</w:t>
      </w:r>
      <w:r>
        <w:br/>
      </w:r>
      <w:r>
        <w:rPr>
          <w:b/>
          <w:bCs/>
        </w:rPr>
        <w:t xml:space="preserve">Status:</w:t>
      </w:r>
      <w:r>
        <w:t xml:space="preserve"> </w:t>
      </w:r>
      <w:r>
        <w:t xml:space="preserve">Working Draft</w:t>
      </w:r>
      <w:r>
        <w:br/>
      </w:r>
      <w:r>
        <w:rPr>
          <w:i/>
          <w:iCs/>
        </w:rPr>
        <w:t xml:space="preserve">All documents should be reviewed by qualified pharmaceutical scientists, regulatory experts, and patent attorneys before taking action.</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Extended-Release Minoxidil Project Overview</dc:title>
  <dc:creator/>
  <dc:language>en</dc:language>
  <cp:keywords/>
  <dcterms:created xsi:type="dcterms:W3CDTF">2026-02-05T15:57:32Z</dcterms:created>
  <dcterms:modified xsi:type="dcterms:W3CDTF">2026-02-05T15:57:32Z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