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Lipid Matrix Formulation - Risk Analysis</w:t>
      </w:r>
    </w:p>
    <w:bookmarkStart w:id="26" w:name="lipid-matrix-formulation---risk-analysis"/>
    <w:p>
      <w:pPr>
        <w:pStyle w:val="Heading1"/>
      </w:pPr>
      <w:r>
        <w:t xml:space="preserve">Lipid Matrix Formulation - Risk Analysis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5, 2026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Potential failure modes and risks for lipid matrix ER minoxidil</w:t>
      </w:r>
    </w:p>
    <w:p>
      <w:pPr>
        <w:pStyle w:val="BodyText"/>
      </w:pPr>
      <w:r>
        <w:rPr>
          <w:b/>
          <w:bCs/>
        </w:rPr>
        <w:t xml:space="preserve">Overall Risk Level: MEDIUM</w:t>
      </w:r>
      <w:r>
        <w:br/>
      </w:r>
      <w:r>
        <w:t xml:space="preserve">The lipid matrix approach has manageable risks, but food effect and polymorphism require early characterization.</w:t>
      </w:r>
    </w:p>
    <w:p>
      <w:r>
        <w:pict>
          <v:rect style="width:0;height:1.5pt" o:hralign="center" o:hrstd="t" o:hr="t"/>
        </w:pict>
      </w:r>
    </w:p>
    <w:bookmarkStart w:id="11" w:name="pharmacokinetic-risks"/>
    <w:p>
      <w:pPr>
        <w:pStyle w:val="Heading2"/>
      </w:pPr>
      <w:r>
        <w:t xml:space="preserve">Pharmacokinetic Risks</w:t>
      </w:r>
    </w:p>
    <w:bookmarkStart w:id="9" w:name="food-effect-high-risk"/>
    <w:p>
      <w:pPr>
        <w:pStyle w:val="Heading3"/>
      </w:pPr>
      <w:r>
        <w:t xml:space="preserve">1. Food Effect</w:t>
      </w:r>
      <w:r>
        <w:t xml:space="preserve"> </w:t>
      </w:r>
      <w:r>
        <w:t xml:space="preserve">HIGH RISK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High-fat meals accelerate lipid digestion, causing faster drug release.</w:t>
      </w:r>
    </w:p>
    <w:p>
      <w:pPr>
        <w:pStyle w:val="Compact"/>
        <w:numPr>
          <w:ilvl w:val="0"/>
          <w:numId w:val="1001"/>
        </w:numPr>
      </w:pPr>
      <w:r>
        <w:t xml:space="preserve">Could see</w:t>
      </w:r>
      <w:r>
        <w:t xml:space="preserve"> </w:t>
      </w:r>
      <w:r>
        <w:rPr>
          <w:b/>
          <w:bCs/>
        </w:rPr>
        <w:t xml:space="preserve">2-3x higher Cmax</w:t>
      </w:r>
      <w:r>
        <w:t xml:space="preserve"> </w:t>
      </w:r>
      <w:r>
        <w:t xml:space="preserve">with food vs. fasted state</w:t>
      </w:r>
    </w:p>
    <w:p>
      <w:pPr>
        <w:pStyle w:val="Compact"/>
        <w:numPr>
          <w:ilvl w:val="0"/>
          <w:numId w:val="1001"/>
        </w:numPr>
      </w:pPr>
      <w:r>
        <w:t xml:space="preserve">Bile salts emulsify the lipid matrix, accelerating erosion</w:t>
      </w:r>
    </w:p>
    <w:p>
      <w:pPr>
        <w:pStyle w:val="Compact"/>
        <w:numPr>
          <w:ilvl w:val="0"/>
          <w:numId w:val="1001"/>
        </w:numPr>
      </w:pPr>
      <w:r>
        <w:t xml:space="preserve">Creates dosing unpredictability for patients</w:t>
      </w:r>
    </w:p>
    <w:p>
      <w:pPr>
        <w:pStyle w:val="Compact"/>
        <w:numPr>
          <w:ilvl w:val="0"/>
          <w:numId w:val="1001"/>
        </w:numPr>
      </w:pPr>
      <w:r>
        <w:t xml:space="preserve">Requires fed/fasted bioequivalence studies (adds time and cost)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If Cmax doubles with food, you could see increased cardiovascular side effects (tachycardia, hypotension) in patients who take it with breakfast.</w:t>
      </w:r>
    </w:p>
    <w:bookmarkEnd w:id="9"/>
    <w:bookmarkStart w:id="10" w:name="pk-variability-medium-risk"/>
    <w:p>
      <w:pPr>
        <w:pStyle w:val="Heading3"/>
      </w:pPr>
      <w:r>
        <w:t xml:space="preserve">2. PK Variability</w:t>
      </w:r>
      <w:r>
        <w:t xml:space="preserve"> </w:t>
      </w:r>
      <w:r>
        <w:t xml:space="preserve">MEDIUM RISK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Inter-patient variability:</w:t>
      </w:r>
      <w:r>
        <w:t xml:space="preserve"> </w:t>
      </w:r>
      <w:r>
        <w:t xml:space="preserve">Different people digest lipids differently (bile salt production, gastric pH, GI transit time all vary)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Intra-patient variability:</w:t>
      </w:r>
      <w:r>
        <w:t xml:space="preserve"> </w:t>
      </w:r>
      <w:r>
        <w:t xml:space="preserve">Same person can have variable absorption day-to-day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60% PK confidence level</w:t>
      </w:r>
      <w:r>
        <w:t xml:space="preserve"> </w:t>
      </w:r>
      <w:r>
        <w:t xml:space="preserve">(vs. 85% for MUPS) reflects this uncertainty</w:t>
      </w:r>
    </w:p>
    <w:p>
      <w:pPr>
        <w:pStyle w:val="Compact"/>
        <w:numPr>
          <w:ilvl w:val="0"/>
          <w:numId w:val="1002"/>
        </w:numPr>
      </w:pPr>
      <w:r>
        <w:t xml:space="preserve">May see wider spread in clinical trial PK data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formulationstability-risks"/>
    <w:p>
      <w:pPr>
        <w:pStyle w:val="Heading2"/>
      </w:pPr>
      <w:r>
        <w:t xml:space="preserve">Formulation/Stability Risks</w:t>
      </w:r>
    </w:p>
    <w:bookmarkStart w:id="12" w:name="lipid-polymorphism-high-risk"/>
    <w:p>
      <w:pPr>
        <w:pStyle w:val="Heading3"/>
      </w:pPr>
      <w:r>
        <w:t xml:space="preserve">3. Lipid Polymorphism</w:t>
      </w:r>
      <w:r>
        <w:t xml:space="preserve"> </w:t>
      </w:r>
      <w:r>
        <w:t xml:space="preserve">HIGH RISK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Compritol and Precirol can exist in multiple crystal forms (α, β', β).</w:t>
      </w:r>
    </w:p>
    <w:p>
      <w:pPr>
        <w:pStyle w:val="Compact"/>
        <w:numPr>
          <w:ilvl w:val="0"/>
          <w:numId w:val="1003"/>
        </w:numPr>
      </w:pPr>
      <w:r>
        <w:t xml:space="preserve">During manufacturing, lipids are melted and rapidly cooled → metastable α form</w:t>
      </w:r>
    </w:p>
    <w:p>
      <w:pPr>
        <w:pStyle w:val="Compact"/>
        <w:numPr>
          <w:ilvl w:val="0"/>
          <w:numId w:val="1003"/>
        </w:numPr>
      </w:pPr>
      <w:r>
        <w:t xml:space="preserve">Over time (months), lipids slowly convert to more stable β form</w:t>
      </w:r>
    </w:p>
    <w:p>
      <w:pPr>
        <w:pStyle w:val="Compact"/>
        <w:numPr>
          <w:ilvl w:val="0"/>
          <w:numId w:val="1003"/>
        </w:numPr>
      </w:pPr>
      <w:r>
        <w:t xml:space="preserve">β form has</w:t>
      </w:r>
      <w:r>
        <w:t xml:space="preserve"> </w:t>
      </w:r>
      <w:r>
        <w:rPr>
          <w:b/>
          <w:bCs/>
        </w:rPr>
        <w:t xml:space="preserve">different surface properties</w:t>
      </w:r>
      <w:r>
        <w:t xml:space="preserve"> </w:t>
      </w:r>
      <w:r>
        <w:t xml:space="preserve">→ slower drug release</w:t>
      </w:r>
    </w:p>
    <w:p>
      <w:pPr>
        <w:pStyle w:val="Compact"/>
        <w:numPr>
          <w:ilvl w:val="0"/>
          <w:numId w:val="1003"/>
        </w:numPr>
      </w:pPr>
      <w:r>
        <w:t xml:space="preserve">Product might pass dissolution specs at release but</w:t>
      </w:r>
      <w:r>
        <w:t xml:space="preserve"> </w:t>
      </w:r>
      <w:r>
        <w:rPr>
          <w:b/>
          <w:bCs/>
        </w:rPr>
        <w:t xml:space="preserve">fail at 12-month stability</w:t>
      </w:r>
    </w:p>
    <w:p>
      <w:pPr>
        <w:pStyle w:val="FirstParagraph"/>
      </w:pPr>
      <w:r>
        <w:rPr>
          <w:b/>
          <w:bCs/>
        </w:rPr>
        <w:t xml:space="preserve">Real-World Impact:</w:t>
      </w:r>
      <w:r>
        <w:t xml:space="preserve"> </w:t>
      </w:r>
      <w:r>
        <w:t xml:space="preserve">You could manufacture a perfect batch, ship it, and have it fail QC by the time it reaches patients.</w:t>
      </w:r>
    </w:p>
    <w:bookmarkEnd w:id="12"/>
    <w:bookmarkStart w:id="13" w:name="incomplete-drug-release-medium-risk"/>
    <w:p>
      <w:pPr>
        <w:pStyle w:val="Heading3"/>
      </w:pPr>
      <w:r>
        <w:t xml:space="preserve">4. Incomplete Drug Release</w:t>
      </w:r>
      <w:r>
        <w:t xml:space="preserve"> </w:t>
      </w:r>
      <w:r>
        <w:t xml:space="preserve">MEDIUM RISK</w:t>
      </w:r>
    </w:p>
    <w:p>
      <w:pPr>
        <w:pStyle w:val="Compact"/>
        <w:numPr>
          <w:ilvl w:val="0"/>
          <w:numId w:val="1004"/>
        </w:numPr>
      </w:pPr>
      <w:r>
        <w:t xml:space="preserve">Drug can become trapped in the lipid matrix and never release</w:t>
      </w:r>
    </w:p>
    <w:p>
      <w:pPr>
        <w:pStyle w:val="Compact"/>
        <w:numPr>
          <w:ilvl w:val="0"/>
          <w:numId w:val="1004"/>
        </w:numPr>
      </w:pPr>
      <w:r>
        <w:t xml:space="preserve">May only achieve</w:t>
      </w:r>
      <w:r>
        <w:t xml:space="preserve"> </w:t>
      </w:r>
      <w:r>
        <w:rPr>
          <w:b/>
          <w:bCs/>
        </w:rPr>
        <w:t xml:space="preserve">70-80% bioavailability</w:t>
      </w:r>
      <w:r>
        <w:t xml:space="preserve"> </w:t>
      </w:r>
      <w:r>
        <w:t xml:space="preserve">compared to IR formulation</w:t>
      </w:r>
    </w:p>
    <w:p>
      <w:pPr>
        <w:pStyle w:val="Compact"/>
        <w:numPr>
          <w:ilvl w:val="0"/>
          <w:numId w:val="1004"/>
        </w:numPr>
      </w:pPr>
      <w:r>
        <w:t xml:space="preserve">Need to verify complete release in dissolution testing (≥85% in 12-24 hours)</w:t>
      </w:r>
    </w:p>
    <w:p>
      <w:pPr>
        <w:pStyle w:val="Compact"/>
        <w:numPr>
          <w:ilvl w:val="0"/>
          <w:numId w:val="1004"/>
        </w:numPr>
      </w:pPr>
      <w:r>
        <w:t xml:space="preserve">If minoxidil has any lipophilicity issues, it may partition into lipid phase</w:t>
      </w:r>
    </w:p>
    <w:bookmarkEnd w:id="13"/>
    <w:bookmarkStart w:id="14" w:name="dose-dumping-risk-low-risk"/>
    <w:p>
      <w:pPr>
        <w:pStyle w:val="Heading3"/>
      </w:pPr>
      <w:r>
        <w:t xml:space="preserve">5. Dose Dumping Risk</w:t>
      </w:r>
      <w:r>
        <w:t xml:space="preserve"> </w:t>
      </w:r>
      <w:r>
        <w:t xml:space="preserve">LOW RISK</w:t>
      </w:r>
    </w:p>
    <w:p>
      <w:pPr>
        <w:pStyle w:val="Compact"/>
        <w:numPr>
          <w:ilvl w:val="0"/>
          <w:numId w:val="1005"/>
        </w:numPr>
      </w:pPr>
      <w:r>
        <w:t xml:space="preserve">If lipid matrix fails catastrophically, all drug releases at once</w:t>
      </w:r>
    </w:p>
    <w:p>
      <w:pPr>
        <w:pStyle w:val="Compact"/>
        <w:numPr>
          <w:ilvl w:val="0"/>
          <w:numId w:val="1005"/>
        </w:numPr>
      </w:pPr>
      <w:r>
        <w:t xml:space="preserve">Could occur with manufacturing defects or extreme storage conditions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Mitigating factor:</w:t>
      </w:r>
      <w:r>
        <w:t xml:space="preserve"> </w:t>
      </w:r>
      <w:r>
        <w:t xml:space="preserve">Minoxidil has a relatively wide therapeutic window</w:t>
      </w:r>
    </w:p>
    <w:p>
      <w:pPr>
        <w:pStyle w:val="Compact"/>
        <w:numPr>
          <w:ilvl w:val="0"/>
          <w:numId w:val="1005"/>
        </w:numPr>
      </w:pPr>
      <w:r>
        <w:t xml:space="preserve">8.5 mg sudden release is unlikely to cause serious harm (unlike opioids or cardiac drugs)</w:t>
      </w:r>
    </w:p>
    <w:p>
      <w:pPr>
        <w:pStyle w:val="Compact"/>
        <w:numPr>
          <w:ilvl w:val="0"/>
          <w:numId w:val="1005"/>
        </w:numPr>
      </w:pPr>
      <w:r>
        <w:t xml:space="preserve">Still a regulatory concern that FDA will ask about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manufacturing-risks"/>
    <w:p>
      <w:pPr>
        <w:pStyle w:val="Heading2"/>
      </w:pPr>
      <w:r>
        <w:t xml:space="preserve">Manufacturing Risks</w:t>
      </w:r>
    </w:p>
    <w:bookmarkStart w:id="16" w:name="temperature-sensitivity-medium-risk"/>
    <w:p>
      <w:pPr>
        <w:pStyle w:val="Heading3"/>
      </w:pPr>
      <w:r>
        <w:t xml:space="preserve">6. Temperature Sensitivity</w:t>
      </w:r>
      <w:r>
        <w:t xml:space="preserve"> </w:t>
      </w:r>
      <w:r>
        <w:t xml:space="preserve">MEDIUM RISK</w:t>
      </w:r>
    </w:p>
    <w:p>
      <w:pPr>
        <w:pStyle w:val="FirstParagraph"/>
      </w:pPr>
      <w:r>
        <w:rPr>
          <w:b/>
          <w:bCs/>
        </w:rPr>
        <w:t xml:space="preserve">Melt granulation requires precise temperature control:</w:t>
      </w:r>
    </w:p>
    <w:p>
      <w:pPr>
        <w:pStyle w:val="Compact"/>
        <w:numPr>
          <w:ilvl w:val="0"/>
          <w:numId w:val="1006"/>
        </w:numPr>
      </w:pPr>
      <w:r>
        <w:t xml:space="preserve">Compritol melting point: 69-74°C</w:t>
      </w:r>
    </w:p>
    <w:p>
      <w:pPr>
        <w:pStyle w:val="Compact"/>
        <w:numPr>
          <w:ilvl w:val="0"/>
          <w:numId w:val="1006"/>
        </w:numPr>
      </w:pPr>
      <w:r>
        <w:t xml:space="preserve">Precirol melting point: 53-57°C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Too hot (&gt;80°C):</w:t>
      </w:r>
      <w:r>
        <w:t xml:space="preserve"> </w:t>
      </w:r>
      <w:r>
        <w:t xml:space="preserve">Lipid degradation, oxidation, discoloration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Too cool (&lt;60°C):</w:t>
      </w:r>
      <w:r>
        <w:t xml:space="preserve"> </w:t>
      </w:r>
      <w:r>
        <w:t xml:space="preserve">Incomplete melting, inhomogeneous drug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Cooling rate matters:</w:t>
      </w:r>
      <w:r>
        <w:t xml:space="preserve"> </w:t>
      </w:r>
      <w:r>
        <w:t xml:space="preserve">Fast cooling → metastable forms; slow cooling → more stable but potentially different release</w:t>
      </w:r>
    </w:p>
    <w:bookmarkEnd w:id="16"/>
    <w:bookmarkStart w:id="17" w:name="scale-up-challenges-medium-risk"/>
    <w:p>
      <w:pPr>
        <w:pStyle w:val="Heading3"/>
      </w:pPr>
      <w:r>
        <w:t xml:space="preserve">7. Scale-Up Challenges</w:t>
      </w:r>
      <w:r>
        <w:t xml:space="preserve"> </w:t>
      </w:r>
      <w:r>
        <w:t xml:space="preserve">MEDIUM RISK</w:t>
      </w:r>
    </w:p>
    <w:p>
      <w:pPr>
        <w:pStyle w:val="Compact"/>
        <w:numPr>
          <w:ilvl w:val="0"/>
          <w:numId w:val="1007"/>
        </w:numPr>
      </w:pPr>
      <w:r>
        <w:t xml:space="preserve">Heat transfer differs between lab-scale (100g) and commercial-scale (100kg)</w:t>
      </w:r>
    </w:p>
    <w:p>
      <w:pPr>
        <w:pStyle w:val="Compact"/>
        <w:numPr>
          <w:ilvl w:val="0"/>
          <w:numId w:val="1007"/>
        </w:numPr>
      </w:pPr>
      <w:r>
        <w:t xml:space="preserve">Larger batches have temperature gradients → inhomogeneous product</w:t>
      </w:r>
    </w:p>
    <w:p>
      <w:pPr>
        <w:pStyle w:val="Compact"/>
        <w:numPr>
          <w:ilvl w:val="0"/>
          <w:numId w:val="1007"/>
        </w:numPr>
      </w:pPr>
      <w:r>
        <w:t xml:space="preserve">Mixing efficiency changes with scale</w:t>
      </w:r>
    </w:p>
    <w:p>
      <w:pPr>
        <w:pStyle w:val="Compact"/>
        <w:numPr>
          <w:ilvl w:val="0"/>
          <w:numId w:val="1007"/>
        </w:numPr>
      </w:pPr>
      <w:r>
        <w:t xml:space="preserve">Batch-to-batch variability in drug content and release profile</w:t>
      </w:r>
    </w:p>
    <w:p>
      <w:pPr>
        <w:pStyle w:val="Compact"/>
        <w:numPr>
          <w:ilvl w:val="0"/>
          <w:numId w:val="1007"/>
        </w:numPr>
      </w:pPr>
      <w:r>
        <w:t xml:space="preserve">Need experienced CDMO with lipid formulation expertise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regulatorycommercial-risks"/>
    <w:p>
      <w:pPr>
        <w:pStyle w:val="Heading2"/>
      </w:pPr>
      <w:r>
        <w:t xml:space="preserve">Regulatory/Commercial Risks</w:t>
      </w:r>
    </w:p>
    <w:bookmarkStart w:id="19" w:name="less-regulatory-precedent-low-risk"/>
    <w:p>
      <w:pPr>
        <w:pStyle w:val="Heading3"/>
      </w:pPr>
      <w:r>
        <w:t xml:space="preserve">8. Less Regulatory Precedent</w:t>
      </w:r>
      <w:r>
        <w:t xml:space="preserve"> </w:t>
      </w:r>
      <w:r>
        <w:t xml:space="preserve">LOW RISK</w:t>
      </w:r>
    </w:p>
    <w:p>
      <w:pPr>
        <w:pStyle w:val="Compact"/>
        <w:numPr>
          <w:ilvl w:val="0"/>
          <w:numId w:val="1008"/>
        </w:numPr>
      </w:pPr>
      <w:r>
        <w:t xml:space="preserve">MUPS (multi-particulate systems) are more common for ER generics</w:t>
      </w:r>
    </w:p>
    <w:p>
      <w:pPr>
        <w:pStyle w:val="Compact"/>
        <w:numPr>
          <w:ilvl w:val="0"/>
          <w:numId w:val="1008"/>
        </w:numPr>
      </w:pPr>
      <w:r>
        <w:t xml:space="preserve">FDA may ask more questions about lipid matrix mechanism</w:t>
      </w:r>
    </w:p>
    <w:p>
      <w:pPr>
        <w:pStyle w:val="Compact"/>
        <w:numPr>
          <w:ilvl w:val="0"/>
          <w:numId w:val="1008"/>
        </w:numPr>
      </w:pPr>
      <w:r>
        <w:t xml:space="preserve">Need to establish strong</w:t>
      </w:r>
      <w:r>
        <w:t xml:space="preserve"> </w:t>
      </w:r>
      <w:r>
        <w:rPr>
          <w:b/>
          <w:bCs/>
        </w:rPr>
        <w:t xml:space="preserve">in vitro-in vivo correlation (IVIVC)</w:t>
      </w:r>
    </w:p>
    <w:p>
      <w:pPr>
        <w:pStyle w:val="Compact"/>
        <w:numPr>
          <w:ilvl w:val="0"/>
          <w:numId w:val="1008"/>
        </w:numPr>
      </w:pPr>
      <w:r>
        <w:t xml:space="preserve">May require additional dissolution method development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Mitigating factor:</w:t>
      </w:r>
      <w:r>
        <w:t xml:space="preserve"> </w:t>
      </w:r>
      <w:r>
        <w:t xml:space="preserve">Lipid matrices are established technology (e.g., Kaletra tablets)</w:t>
      </w:r>
    </w:p>
    <w:bookmarkEnd w:id="19"/>
    <w:bookmarkStart w:id="20" w:name="bioequivalence-challenge-medium-risk"/>
    <w:p>
      <w:pPr>
        <w:pStyle w:val="Heading3"/>
      </w:pPr>
      <w:r>
        <w:t xml:space="preserve">9. Bioequivalence Challenge</w:t>
      </w:r>
      <w:r>
        <w:t xml:space="preserve"> </w:t>
      </w:r>
      <w:r>
        <w:t xml:space="preserve">MEDIUM RISK</w:t>
      </w:r>
    </w:p>
    <w:p>
      <w:pPr>
        <w:pStyle w:val="FirstParagraph"/>
      </w:pPr>
      <w:r>
        <w:rPr>
          <w:b/>
          <w:bCs/>
        </w:rPr>
        <w:t xml:space="preserve">If your goal is BE to Veradermics:</w:t>
      </w:r>
    </w:p>
    <w:p>
      <w:pPr>
        <w:pStyle w:val="Compact"/>
        <w:numPr>
          <w:ilvl w:val="0"/>
          <w:numId w:val="1009"/>
        </w:numPr>
      </w:pPr>
      <w:r>
        <w:t xml:space="preserve">Veradermics uses HPMC matrix (gel diffusion mechanism)</w:t>
      </w:r>
    </w:p>
    <w:p>
      <w:pPr>
        <w:pStyle w:val="Compact"/>
        <w:numPr>
          <w:ilvl w:val="0"/>
          <w:numId w:val="1009"/>
        </w:numPr>
      </w:pPr>
      <w:r>
        <w:t xml:space="preserve">Lipid matrix uses erosion mechanism</w:t>
      </w:r>
    </w:p>
    <w:p>
      <w:pPr>
        <w:pStyle w:val="Compact"/>
        <w:numPr>
          <w:ilvl w:val="0"/>
          <w:numId w:val="1009"/>
        </w:numPr>
      </w:pPr>
      <w:r>
        <w:t xml:space="preserve">Different mechanisms → different PK curve shapes even if AUC matches</w:t>
      </w:r>
    </w:p>
    <w:p>
      <w:pPr>
        <w:pStyle w:val="Compact"/>
        <w:numPr>
          <w:ilvl w:val="0"/>
          <w:numId w:val="1009"/>
        </w:numPr>
      </w:pPr>
      <w:r>
        <w:t xml:space="preserve">May need multiple formulation iterations to match their Cmax and Tmax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Alternative:</w:t>
      </w:r>
      <w:r>
        <w:t xml:space="preserve"> </w:t>
      </w:r>
      <w:r>
        <w:t xml:space="preserve">If going 505(b)(2) route, you don't need exact BE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isk-mitigation-strategies"/>
    <w:p>
      <w:pPr>
        <w:pStyle w:val="Heading2"/>
      </w:pPr>
      <w:r>
        <w:t xml:space="preserve">Risk Mitigation Strategies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When to Implement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Food effect</w:t>
            </w:r>
          </w:p>
        </w:tc>
        <w:tc>
          <w:tcPr/>
          <w:p>
            <w:pPr>
              <w:pStyle w:val="Compact"/>
            </w:pPr>
            <w:r>
              <w:t xml:space="preserve">Conduct fed/fasted PK study in dogs before human trials; label "take consistently with or without food"</w:t>
            </w:r>
          </w:p>
        </w:tc>
        <w:tc>
          <w:tcPr/>
          <w:p>
            <w:pPr>
              <w:pStyle w:val="Compact"/>
            </w:pPr>
            <w:r>
              <w:t xml:space="preserve">Pre-clinical / 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Accelerated stability studies (40°C/75% RH); anneal lipids during manufacturing; DSC/XRD monitoring</w:t>
            </w:r>
          </w:p>
        </w:tc>
        <w:tc>
          <w:tcPr/>
          <w:p>
            <w:pPr>
              <w:pStyle w:val="Compact"/>
            </w:pPr>
            <w:r>
              <w:t xml:space="preserve">Formulation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Incomplete release</w:t>
            </w:r>
          </w:p>
        </w:tc>
        <w:tc>
          <w:tcPr/>
          <w:p>
            <w:pPr>
              <w:pStyle w:val="Compact"/>
            </w:pPr>
            <w:r>
              <w:t xml:space="preserve">Optimize lipid:filler ratio; add pore formers (e.g., PEG) if needed; dissolution testing to 24h</w:t>
            </w:r>
          </w:p>
        </w:tc>
        <w:tc>
          <w:tcPr/>
          <w:p>
            <w:pPr>
              <w:pStyle w:val="Compact"/>
            </w:pPr>
            <w:r>
              <w:t xml:space="preserve">Formulation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 sensitivity</w:t>
            </w:r>
          </w:p>
        </w:tc>
        <w:tc>
          <w:tcPr/>
          <w:p>
            <w:pPr>
              <w:pStyle w:val="Compact"/>
            </w:pPr>
            <w:r>
              <w:t xml:space="preserve">Define tight process parameters; use jacketed mixers with precise temperature control</w:t>
            </w:r>
          </w:p>
        </w:tc>
        <w:tc>
          <w:tcPr/>
          <w:p>
            <w:pPr>
              <w:pStyle w:val="Compact"/>
            </w:pPr>
            <w:r>
              <w:t xml:space="preserve">Process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Scale-up</w:t>
            </w:r>
          </w:p>
        </w:tc>
        <w:tc>
          <w:tcPr/>
          <w:p>
            <w:pPr>
              <w:pStyle w:val="Compact"/>
            </w:pPr>
            <w:r>
              <w:t xml:space="preserve">Partner with experienced CDMO; conduct scale-up studies at 10x and 100x; establish CPPs early</w:t>
            </w:r>
          </w:p>
        </w:tc>
        <w:tc>
          <w:tcPr/>
          <w:p>
            <w:pPr>
              <w:pStyle w:val="Compact"/>
            </w:pPr>
            <w:r>
              <w:t xml:space="preserve">Tech transfer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 variability</w:t>
            </w:r>
          </w:p>
        </w:tc>
        <w:tc>
          <w:tcPr/>
          <w:p>
            <w:pPr>
              <w:pStyle w:val="Compact"/>
            </w:pPr>
            <w:r>
              <w:t xml:space="preserve">Design clinical trials with adequate sample size; minoxidil's wide therapeutic window helps</w:t>
            </w:r>
          </w:p>
        </w:tc>
        <w:tc>
          <w:tcPr/>
          <w:p>
            <w:pPr>
              <w:pStyle w:val="Compact"/>
            </w:pPr>
            <w:r>
              <w:t xml:space="preserve">Clinical planning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cision-points-kill-criteria"/>
    <w:p>
      <w:pPr>
        <w:pStyle w:val="Heading2"/>
      </w:pPr>
      <w:r>
        <w:t xml:space="preserve">Decision Points / Kill Criteria</w:t>
      </w:r>
    </w:p>
    <w:p>
      <w:pPr>
        <w:pStyle w:val="FirstParagraph"/>
      </w:pPr>
      <w:r>
        <w:rPr>
          <w:b/>
          <w:bCs/>
        </w:rPr>
        <w:t xml:space="preserve">Consider pivoting to MUPS if: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Food effect &gt;2-fold</w:t>
      </w:r>
      <w:r>
        <w:t xml:space="preserve"> </w:t>
      </w:r>
      <w:r>
        <w:t xml:space="preserve">difference in Cmax (fed vs. fasted)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Polymorphic shift</w:t>
      </w:r>
      <w:r>
        <w:t xml:space="preserve"> </w:t>
      </w:r>
      <w:r>
        <w:t xml:space="preserve">causes &gt;20% change in dissolution at 6-month stability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Bioavailability &lt;70%</w:t>
      </w:r>
      <w:r>
        <w:t xml:space="preserve"> </w:t>
      </w:r>
      <w:r>
        <w:t xml:space="preserve">compared to IR minoxidil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Batch-to-batch variability</w:t>
      </w:r>
      <w:r>
        <w:t xml:space="preserve"> </w:t>
      </w:r>
      <w:r>
        <w:t xml:space="preserve">exceeds ±15% in drug release</w:t>
      </w:r>
    </w:p>
    <w:p>
      <w:r>
        <w:pict>
          <v:rect style="width:0;height:1.5pt" o:hralign="center" o:hrstd="t" o:hr="t"/>
        </w:pict>
      </w:r>
    </w:p>
    <w:bookmarkEnd w:id="23"/>
    <w:bookmarkStart w:id="24" w:name="recommended-early-studies"/>
    <w:p>
      <w:pPr>
        <w:pStyle w:val="Heading2"/>
      </w:pPr>
      <w:r>
        <w:t xml:space="preserve">Recommended Early Studies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 PK (fed/fasted)</w:t>
            </w:r>
          </w:p>
        </w:tc>
        <w:tc>
          <w:tcPr/>
          <w:p>
            <w:pPr>
              <w:pStyle w:val="Compact"/>
            </w:pPr>
            <w:r>
              <w:t xml:space="preserve">Characterize food effect magnitude</w:t>
            </w:r>
          </w:p>
        </w:tc>
        <w:tc>
          <w:tcPr/>
          <w:p>
            <w:pPr>
              <w:pStyle w:val="Compact"/>
            </w:pPr>
            <w:r>
              <w:t xml:space="preserve">Month 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6-month accelerated stability</w:t>
            </w:r>
          </w:p>
        </w:tc>
        <w:tc>
          <w:tcPr/>
          <w:p>
            <w:pPr>
              <w:pStyle w:val="Compact"/>
            </w:pPr>
            <w:r>
              <w:t xml:space="preserve">Detect polymorphic transitions early</w:t>
            </w:r>
          </w:p>
        </w:tc>
        <w:tc>
          <w:tcPr/>
          <w:p>
            <w:pPr>
              <w:pStyle w:val="Compact"/>
            </w:pPr>
            <w:r>
              <w:t xml:space="preserve">Month 1-7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DSC/XRD at T0, 1M, 3M, 6M</w:t>
            </w:r>
          </w:p>
        </w:tc>
        <w:tc>
          <w:tcPr/>
          <w:p>
            <w:pPr>
              <w:pStyle w:val="Compact"/>
            </w:pPr>
            <w:r>
              <w:t xml:space="preserve">Monitor lipid crystal form changes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Dissolution in multiple media</w:t>
            </w:r>
          </w:p>
        </w:tc>
        <w:tc>
          <w:tcPr/>
          <w:p>
            <w:pPr>
              <w:pStyle w:val="Compact"/>
            </w:pPr>
            <w:r>
              <w:t xml:space="preserve">Understand release mechanism; develop IVIVC</w:t>
            </w:r>
          </w:p>
        </w:tc>
        <w:tc>
          <w:tcPr/>
          <w:p>
            <w:pPr>
              <w:pStyle w:val="Compact"/>
            </w:pPr>
            <w:r>
              <w:t xml:space="preserve">Month 1-3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Drug-excipient compatibility</w:t>
            </w:r>
          </w:p>
        </w:tc>
        <w:tc>
          <w:tcPr/>
          <w:p>
            <w:pPr>
              <w:pStyle w:val="Compact"/>
            </w:pPr>
            <w:r>
              <w:t xml:space="preserve">Verify no chemical interaction with lipids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Food effect and lipid polymorphism are the two issues most likely to derail development.</w:t>
      </w:r>
    </w:p>
    <w:p>
      <w:pPr>
        <w:pStyle w:val="BodyText"/>
      </w:pPr>
      <w:r>
        <w:t xml:space="preserve">Both can be characterized early with relatively inexpensive studies. If either proves unacceptable, MUPS is your backup plan with higher PK predictability but weaker patent differentiation.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risk analysis is for planning purposes. Consult with formulation scientists and regulatory experts before proceeding.</w:t>
      </w:r>
    </w:p>
    <w:p>
      <w:pPr>
        <w:pStyle w:val="BodyText"/>
      </w:pPr>
      <w:r>
        <w:rPr>
          <w:i/>
          <w:iCs/>
        </w:rPr>
        <w:t xml:space="preserve">Document prepared: February 5, 2026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Lipid Matrix Formulation - Risk Analysis</dc:title>
  <dc:creator/>
  <dc:language>en</dc:language>
  <cp:keywords/>
  <dcterms:created xsi:type="dcterms:W3CDTF">2026-02-05T05:30:19Z</dcterms:created>
  <dcterms:modified xsi:type="dcterms:W3CDTF">2026-02-05T05:30:19Z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