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Execution Roadmap: ER Minoxidil Development to Human Use</w:t>
      </w:r>
    </w:p>
    <w:bookmarkStart w:id="51" w:name="execution-roadmap"/>
    <w:p>
      <w:pPr>
        <w:pStyle w:val="Heading1"/>
      </w:pPr>
      <w:r>
        <w:t xml:space="preserve">Execution Roadmap</w:t>
      </w:r>
    </w:p>
    <w:bookmarkStart w:id="10" w:name="from-formulation-to-human-use"/>
    <w:p>
      <w:pPr>
        <w:pStyle w:val="Heading2"/>
      </w:pPr>
      <w:r>
        <w:t xml:space="preserve">From Formulation to Human Use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5, 2026</w:t>
      </w:r>
    </w:p>
    <w:p>
      <w:pPr>
        <w:pStyle w:val="BodyText"/>
      </w:pPr>
      <w:r>
        <w:rPr>
          <w:b/>
          <w:bCs/>
        </w:rPr>
        <w:t xml:space="preserve">Product:</w:t>
      </w:r>
      <w:r>
        <w:t xml:space="preserve"> </w:t>
      </w:r>
      <w:r>
        <w:t xml:space="preserve">Extended-Release Minoxidil 8.5 mg (Lipid Matrix)</w:t>
      </w:r>
    </w:p>
    <w:bookmarkStart w:id="9" w:name="overview-5-phases-before-human-use"/>
    <w:p>
      <w:pPr>
        <w:pStyle w:val="Heading3"/>
      </w:pPr>
      <w:r>
        <w:t xml:space="preserve">Overview: 5 Phases Before Human 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Cost Estimate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Formulation Development</w:t>
            </w:r>
          </w:p>
        </w:tc>
        <w:tc>
          <w:tcPr/>
          <w:p>
            <w:pPr>
              <w:pStyle w:val="Compact"/>
            </w:pPr>
            <w:r>
              <w:t xml:space="preserve">2-4 weeks</w:t>
            </w:r>
          </w:p>
        </w:tc>
        <w:tc>
          <w:tcPr/>
          <w:p>
            <w:pPr>
              <w:pStyle w:val="Compact"/>
            </w:pPr>
            <w:r>
              <w:t xml:space="preserve">$2-5K</w:t>
            </w:r>
          </w:p>
        </w:tc>
        <w:tc>
          <w:tcPr/>
          <w:p>
            <w:pPr>
              <w:pStyle w:val="Compact"/>
            </w:pPr>
            <w:r>
              <w:t xml:space="preserve">Dissolution meets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Analytical &amp; QC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  <w:tc>
          <w:tcPr/>
          <w:p>
            <w:pPr>
              <w:pStyle w:val="Compact"/>
            </w:pPr>
            <w:r>
              <w:t xml:space="preserve">$3-8K</w:t>
            </w:r>
          </w:p>
        </w:tc>
        <w:tc>
          <w:tcPr/>
          <w:p>
            <w:pPr>
              <w:pStyle w:val="Compact"/>
            </w:pPr>
            <w:r>
              <w:t xml:space="preserve">Methods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Stability Testing</w:t>
            </w:r>
          </w:p>
        </w:tc>
        <w:tc>
          <w:tcPr/>
          <w:p>
            <w:pPr>
              <w:pStyle w:val="Compact"/>
            </w:pPr>
            <w:r>
              <w:t xml:space="preserve">1-6 months (parallel)</w:t>
            </w:r>
          </w:p>
        </w:tc>
        <w:tc>
          <w:tcPr/>
          <w:p>
            <w:pPr>
              <w:pStyle w:val="Compact"/>
            </w:pPr>
            <w:r>
              <w:t xml:space="preserve">$2-5K</w:t>
            </w:r>
          </w:p>
        </w:tc>
        <w:tc>
          <w:tcPr/>
          <w:p>
            <w:pPr>
              <w:pStyle w:val="Compact"/>
            </w:pPr>
            <w:r>
              <w:t xml:space="preserve">No degradation at 1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Animal PK (Optional)</w:t>
            </w:r>
          </w:p>
        </w:tc>
        <w:tc>
          <w:tcPr/>
          <w:p>
            <w:pPr>
              <w:pStyle w:val="Compact"/>
            </w:pPr>
            <w:r>
              <w:t xml:space="preserve">4-6 weeks</w:t>
            </w:r>
          </w:p>
        </w:tc>
        <w:tc>
          <w:tcPr/>
          <w:p>
            <w:pPr>
              <w:pStyle w:val="Compact"/>
            </w:pPr>
            <w:r>
              <w:t xml:space="preserve">$30-50K</w:t>
            </w:r>
          </w:p>
        </w:tc>
        <w:tc>
          <w:tcPr/>
          <w:p>
            <w:pPr>
              <w:pStyle w:val="Compact"/>
            </w:pPr>
            <w:r>
              <w:t xml:space="preserve">PK profile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Compounding Setup</w:t>
            </w:r>
          </w:p>
        </w:tc>
        <w:tc>
          <w:tcPr/>
          <w:p>
            <w:pPr>
              <w:pStyle w:val="Compact"/>
            </w:pPr>
            <w:r>
              <w:t xml:space="preserve">2-4 weeks</w:t>
            </w:r>
          </w:p>
        </w:tc>
        <w:tc>
          <w:tcPr/>
          <w:p>
            <w:pPr>
              <w:pStyle w:val="Compact"/>
            </w:pPr>
            <w:r>
              <w:t xml:space="preserve">$1-3K</w:t>
            </w:r>
          </w:p>
        </w:tc>
        <w:tc>
          <w:tcPr/>
          <w:p>
            <w:pPr>
              <w:pStyle w:val="Compact"/>
            </w:pPr>
            <w:r>
              <w:t xml:space="preserve">Pharmacy ready to compound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(without animal PK)</w:t>
            </w:r>
          </w:p>
        </w:tc>
        <w:tc>
          <w:tcPr/>
          <w:p>
            <w:pPr>
              <w:pStyle w:val="Compact"/>
            </w:pPr>
            <w:r>
              <w:t xml:space="preserve">6-10 weeks</w:t>
            </w:r>
          </w:p>
        </w:tc>
        <w:tc>
          <w:tcPr/>
          <w:p>
            <w:pPr>
              <w:pStyle w:val="Compact"/>
            </w:pPr>
            <w:r>
              <w:t xml:space="preserve">$8-21K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 (with animal PK)</w:t>
            </w:r>
          </w:p>
        </w:tc>
        <w:tc>
          <w:tcPr/>
          <w:p>
            <w:pPr>
              <w:pStyle w:val="Compact"/>
            </w:pPr>
            <w:r>
              <w:t xml:space="preserve">10-14 weeks</w:t>
            </w:r>
          </w:p>
        </w:tc>
        <w:tc>
          <w:tcPr/>
          <w:p>
            <w:pPr>
              <w:pStyle w:val="Compact"/>
            </w:pPr>
            <w:r>
              <w:t xml:space="preserve">$38-71K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p>
      <w:r>
        <w:pict>
          <v:rect style="width:0;height:1.5pt" o:hralign="center" o:hrstd="t" o:hr="t"/>
        </w:pict>
      </w:r>
    </w:p>
    <w:bookmarkEnd w:id="10"/>
    <w:bookmarkStart w:id="14" w:name="phase-1-formulation-development"/>
    <w:p>
      <w:pPr>
        <w:pStyle w:val="Heading2"/>
      </w:pPr>
      <w:r>
        <w:t xml:space="preserve">Phase 1: Formulation Development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2-4 weeks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$2,000-5,000</w:t>
      </w:r>
    </w:p>
    <w:bookmarkStart w:id="11" w:name="make-test-batches"/>
    <w:p>
      <w:pPr>
        <w:pStyle w:val="Heading3"/>
      </w:pPr>
      <w:r>
        <w:t xml:space="preserve">1.1 Make Test Batches</w:t>
      </w:r>
    </w:p>
    <w:p>
      <w:pPr>
        <w:pStyle w:val="Compact"/>
        <w:numPr>
          <w:ilvl w:val="0"/>
          <w:numId w:val="1001"/>
        </w:numPr>
      </w:pPr>
      <w:r>
        <w:t xml:space="preserve">Source excipients (Compritol, Precirol, PEG 6000, Poloxamer 188, MCC, lactose)</w:t>
      </w:r>
    </w:p>
    <w:p>
      <w:pPr>
        <w:pStyle w:val="Compact"/>
        <w:numPr>
          <w:ilvl w:val="0"/>
          <w:numId w:val="1001"/>
        </w:numPr>
      </w:pPr>
      <w:r>
        <w:t xml:space="preserve">Source minoxidil API (USP grade)</w:t>
      </w:r>
    </w:p>
    <w:p>
      <w:pPr>
        <w:pStyle w:val="Compact"/>
        <w:numPr>
          <w:ilvl w:val="0"/>
          <w:numId w:val="1001"/>
        </w:numPr>
      </w:pPr>
      <w:r>
        <w:t xml:space="preserve">Make 3 small batches (50-100 units each) per the formulation protocol</w:t>
      </w:r>
    </w:p>
    <w:p>
      <w:pPr>
        <w:pStyle w:val="Compact"/>
        <w:numPr>
          <w:ilvl w:val="0"/>
          <w:numId w:val="1001"/>
        </w:numPr>
      </w:pPr>
      <w:r>
        <w:t xml:space="preserve">Document batch records for each</w:t>
      </w:r>
    </w:p>
    <w:p>
      <w:pPr>
        <w:pStyle w:val="Compact"/>
        <w:numPr>
          <w:ilvl w:val="0"/>
          <w:numId w:val="1001"/>
        </w:numPr>
      </w:pPr>
      <w:r>
        <w:t xml:space="preserve">Visual inspection: tablets/capsules uniform, no defects</w:t>
      </w:r>
    </w:p>
    <w:bookmarkEnd w:id="11"/>
    <w:bookmarkStart w:id="12" w:name="dissolution-testing-critical"/>
    <w:p>
      <w:pPr>
        <w:pStyle w:val="Heading3"/>
      </w:pPr>
      <w:r>
        <w:t xml:space="preserve">1.2 Dissolution Testing (Critical)</w:t>
      </w:r>
    </w:p>
    <w:p>
      <w:pPr>
        <w:pStyle w:val="Compact"/>
        <w:numPr>
          <w:ilvl w:val="0"/>
          <w:numId w:val="1002"/>
        </w:numPr>
      </w:pPr>
      <w:r>
        <w:t xml:space="preserve">Run dissolution on each batch (1, 4, 8, 12 hours)</w:t>
      </w:r>
    </w:p>
    <w:p>
      <w:pPr>
        <w:pStyle w:val="Compact"/>
        <w:numPr>
          <w:ilvl w:val="0"/>
          <w:numId w:val="1002"/>
        </w:numPr>
      </w:pPr>
      <w:r>
        <w:t xml:space="preserve">Compare to target: 15-20% (1h), 40-50% (4h), 65-75% (8h), &gt;80% (12h)</w:t>
      </w:r>
    </w:p>
    <w:p>
      <w:pPr>
        <w:pStyle w:val="Compact"/>
        <w:numPr>
          <w:ilvl w:val="0"/>
          <w:numId w:val="1002"/>
        </w:numPr>
      </w:pPr>
      <w:r>
        <w:t xml:space="preserve">If too fast: increase Compritol, decrease PEG</w:t>
      </w:r>
    </w:p>
    <w:p>
      <w:pPr>
        <w:pStyle w:val="Compact"/>
        <w:numPr>
          <w:ilvl w:val="0"/>
          <w:numId w:val="1002"/>
        </w:numPr>
      </w:pPr>
      <w:r>
        <w:t xml:space="preserve">If too slow: decrease Compritol, increase PEG</w:t>
      </w:r>
    </w:p>
    <w:p>
      <w:pPr>
        <w:pStyle w:val="Compact"/>
        <w:numPr>
          <w:ilvl w:val="0"/>
          <w:numId w:val="1002"/>
        </w:numPr>
      </w:pPr>
      <w:r>
        <w:t xml:space="preserve">Iterate until dissolution meets target (may need 2-4 iterations)</w:t>
      </w:r>
    </w:p>
    <w:bookmarkEnd w:id="12"/>
    <w:bookmarkStart w:id="13" w:name="fed-state-dissolution"/>
    <w:p>
      <w:pPr>
        <w:pStyle w:val="Heading3"/>
      </w:pPr>
      <w:r>
        <w:t xml:space="preserve">1.3 Fed-State Dissolution</w:t>
      </w:r>
    </w:p>
    <w:p>
      <w:pPr>
        <w:pStyle w:val="Compact"/>
        <w:numPr>
          <w:ilvl w:val="0"/>
          <w:numId w:val="1003"/>
        </w:numPr>
      </w:pPr>
      <w:r>
        <w:t xml:space="preserve">Run dissolution in FeSSIF or milk (simulates fed state)</w:t>
      </w:r>
    </w:p>
    <w:p>
      <w:pPr>
        <w:pStyle w:val="Compact"/>
        <w:numPr>
          <w:ilvl w:val="0"/>
          <w:numId w:val="1003"/>
        </w:numPr>
      </w:pPr>
      <w:r>
        <w:t xml:space="preserve">Compare to fasted state dissolution</w:t>
      </w:r>
    </w:p>
    <w:p>
      <w:pPr>
        <w:pStyle w:val="Compact"/>
        <w:numPr>
          <w:ilvl w:val="0"/>
          <w:numId w:val="1003"/>
        </w:numPr>
      </w:pPr>
      <w:r>
        <w:t xml:space="preserve">Acceptable if fed-state 4h dissolution is &lt;1.5x fasted</w:t>
      </w:r>
    </w:p>
    <w:p>
      <w:pPr>
        <w:pStyle w:val="Compact"/>
        <w:numPr>
          <w:ilvl w:val="0"/>
          <w:numId w:val="1003"/>
        </w:numPr>
      </w:pPr>
      <w:r>
        <w:t xml:space="preserve">If food effect too high: add calcium stearate or carnauba wax</w:t>
      </w:r>
    </w:p>
    <w:p>
      <w:pPr>
        <w:pStyle w:val="FirstParagraph"/>
      </w:pPr>
      <w:r>
        <w:rPr>
          <w:b/>
          <w:bCs/>
        </w:rPr>
        <w:t xml:space="preserve">Phase 1 Exit Criteria:</w:t>
      </w:r>
    </w:p>
    <w:p>
      <w:pPr>
        <w:pStyle w:val="Compact"/>
        <w:numPr>
          <w:ilvl w:val="0"/>
          <w:numId w:val="1004"/>
        </w:numPr>
      </w:pPr>
      <w:r>
        <w:t xml:space="preserve">Dissolution meets target profile in fasted media</w:t>
      </w:r>
    </w:p>
    <w:p>
      <w:pPr>
        <w:pStyle w:val="Compact"/>
        <w:numPr>
          <w:ilvl w:val="0"/>
          <w:numId w:val="1004"/>
        </w:numPr>
      </w:pPr>
      <w:r>
        <w:t xml:space="preserve">Food effect is acceptable (&lt;1.5x at 4h)</w:t>
      </w:r>
    </w:p>
    <w:p>
      <w:pPr>
        <w:pStyle w:val="Compact"/>
        <w:numPr>
          <w:ilvl w:val="0"/>
          <w:numId w:val="1004"/>
        </w:numPr>
      </w:pPr>
      <w:r>
        <w:t xml:space="preserve">Batch-to-batch variability &lt;15%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hase-2-analytical-quality-control"/>
    <w:p>
      <w:pPr>
        <w:pStyle w:val="Heading2"/>
      </w:pPr>
      <w:r>
        <w:t xml:space="preserve">Phase 2: Analytical &amp; Quality Control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2-3 weeks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$3,000-8,000</w:t>
      </w:r>
    </w:p>
    <w:bookmarkStart w:id="15" w:name="assay-method"/>
    <w:p>
      <w:pPr>
        <w:pStyle w:val="Heading3"/>
      </w:pPr>
      <w:r>
        <w:t xml:space="preserve">2.1 Assay Method</w:t>
      </w:r>
    </w:p>
    <w:p>
      <w:pPr>
        <w:pStyle w:val="Compact"/>
        <w:numPr>
          <w:ilvl w:val="0"/>
          <w:numId w:val="1005"/>
        </w:numPr>
      </w:pPr>
      <w:r>
        <w:t xml:space="preserve">HPLC method for minoxidil content (or use compendial USP method)</w:t>
      </w:r>
    </w:p>
    <w:p>
      <w:pPr>
        <w:pStyle w:val="Compact"/>
        <w:numPr>
          <w:ilvl w:val="0"/>
          <w:numId w:val="1005"/>
        </w:numPr>
      </w:pPr>
      <w:r>
        <w:t xml:space="preserve">Verify method works with your matrix (lipid interference check)</w:t>
      </w:r>
    </w:p>
    <w:p>
      <w:pPr>
        <w:pStyle w:val="Compact"/>
        <w:numPr>
          <w:ilvl w:val="0"/>
          <w:numId w:val="1005"/>
        </w:numPr>
      </w:pPr>
      <w:r>
        <w:t xml:space="preserve">Run assay on 3 batches: target 95-105% of label claim</w:t>
      </w:r>
    </w:p>
    <w:bookmarkEnd w:id="15"/>
    <w:bookmarkStart w:id="16" w:name="content-uniformity"/>
    <w:p>
      <w:pPr>
        <w:pStyle w:val="Heading3"/>
      </w:pPr>
      <w:r>
        <w:t xml:space="preserve">2.2 Content Uniformity</w:t>
      </w:r>
    </w:p>
    <w:p>
      <w:pPr>
        <w:pStyle w:val="Compact"/>
        <w:numPr>
          <w:ilvl w:val="0"/>
          <w:numId w:val="1006"/>
        </w:numPr>
      </w:pPr>
      <w:r>
        <w:t xml:space="preserve">Test 10 individual units from each batch</w:t>
      </w:r>
    </w:p>
    <w:p>
      <w:pPr>
        <w:pStyle w:val="Compact"/>
        <w:numPr>
          <w:ilvl w:val="0"/>
          <w:numId w:val="1006"/>
        </w:numPr>
      </w:pPr>
      <w:r>
        <w:t xml:space="preserve">Calculate AV (Acceptance Value) per USP &lt;905&gt;</w:t>
      </w:r>
    </w:p>
    <w:p>
      <w:pPr>
        <w:pStyle w:val="Compact"/>
        <w:numPr>
          <w:ilvl w:val="0"/>
          <w:numId w:val="1006"/>
        </w:numPr>
      </w:pPr>
      <w:r>
        <w:t xml:space="preserve">Target: AV ≤ 15.0</w:t>
      </w:r>
    </w:p>
    <w:bookmarkEnd w:id="16"/>
    <w:bookmarkStart w:id="17" w:name="physical-tests"/>
    <w:p>
      <w:pPr>
        <w:pStyle w:val="Heading3"/>
      </w:pPr>
      <w:r>
        <w:t xml:space="preserve">2.3 Physical Tests</w:t>
      </w:r>
    </w:p>
    <w:p>
      <w:pPr>
        <w:pStyle w:val="Compact"/>
        <w:numPr>
          <w:ilvl w:val="0"/>
          <w:numId w:val="1007"/>
        </w:numPr>
      </w:pPr>
      <w:r>
        <w:t xml:space="preserve">Weight variation (±5%)</w:t>
      </w:r>
    </w:p>
    <w:p>
      <w:pPr>
        <w:pStyle w:val="Compact"/>
        <w:numPr>
          <w:ilvl w:val="0"/>
          <w:numId w:val="1007"/>
        </w:numPr>
      </w:pPr>
      <w:r>
        <w:t xml:space="preserve">Hardness (tablets): 6-10 kP</w:t>
      </w:r>
    </w:p>
    <w:p>
      <w:pPr>
        <w:pStyle w:val="Compact"/>
        <w:numPr>
          <w:ilvl w:val="0"/>
          <w:numId w:val="1007"/>
        </w:numPr>
      </w:pPr>
      <w:r>
        <w:t xml:space="preserve">Friability (tablets): &lt;1.0%</w:t>
      </w:r>
    </w:p>
    <w:p>
      <w:pPr>
        <w:pStyle w:val="Compact"/>
        <w:numPr>
          <w:ilvl w:val="0"/>
          <w:numId w:val="1007"/>
        </w:numPr>
      </w:pPr>
      <w:r>
        <w:t xml:space="preserve">Disintegration: should NOT disintegrate in &lt;1 hour (it's ER)</w:t>
      </w:r>
    </w:p>
    <w:p>
      <w:pPr>
        <w:pStyle w:val="FirstParagraph"/>
      </w:pPr>
      <w:r>
        <w:rPr>
          <w:b/>
          <w:bCs/>
        </w:rPr>
        <w:t xml:space="preserve">Phase 2 Exit Criteria:</w:t>
      </w:r>
    </w:p>
    <w:p>
      <w:pPr>
        <w:pStyle w:val="Compact"/>
        <w:numPr>
          <w:ilvl w:val="0"/>
          <w:numId w:val="1008"/>
        </w:numPr>
      </w:pPr>
      <w:r>
        <w:t xml:space="preserve">Assay: 95-105% of label claim</w:t>
      </w:r>
    </w:p>
    <w:p>
      <w:pPr>
        <w:pStyle w:val="Compact"/>
        <w:numPr>
          <w:ilvl w:val="0"/>
          <w:numId w:val="1008"/>
        </w:numPr>
      </w:pPr>
      <w:r>
        <w:t xml:space="preserve">Content uniformity: AV ≤ 15.0</w:t>
      </w:r>
    </w:p>
    <w:p>
      <w:pPr>
        <w:pStyle w:val="Compact"/>
        <w:numPr>
          <w:ilvl w:val="0"/>
          <w:numId w:val="1008"/>
        </w:numPr>
      </w:pPr>
      <w:r>
        <w:t xml:space="preserve">Physical tests pass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phase-3-stability-testing"/>
    <w:p>
      <w:pPr>
        <w:pStyle w:val="Heading2"/>
      </w:pPr>
      <w:r>
        <w:t xml:space="preserve">Phase 3: Stability Testing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Ongoing (1-6 months)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$2,000-5,000</w:t>
      </w:r>
    </w:p>
    <w:bookmarkStart w:id="19" w:name="accelerated-stability"/>
    <w:p>
      <w:pPr>
        <w:pStyle w:val="Heading3"/>
      </w:pPr>
      <w:r>
        <w:t xml:space="preserve">3.1 Accelerated Stability</w:t>
      </w:r>
    </w:p>
    <w:p>
      <w:pPr>
        <w:pStyle w:val="Compact"/>
        <w:numPr>
          <w:ilvl w:val="0"/>
          <w:numId w:val="1009"/>
        </w:numPr>
      </w:pPr>
      <w:r>
        <w:t xml:space="preserve">Place samples at 40°C / 75% RH</w:t>
      </w:r>
    </w:p>
    <w:p>
      <w:pPr>
        <w:pStyle w:val="Compact"/>
        <w:numPr>
          <w:ilvl w:val="0"/>
          <w:numId w:val="1009"/>
        </w:numPr>
      </w:pPr>
      <w:r>
        <w:t xml:space="preserve">Test at: 1 week, 2 weeks, 1 month, 3 months, 6 months</w:t>
      </w:r>
    </w:p>
    <w:p>
      <w:pPr>
        <w:pStyle w:val="Compact"/>
        <w:numPr>
          <w:ilvl w:val="0"/>
          <w:numId w:val="1009"/>
        </w:numPr>
      </w:pPr>
      <w:r>
        <w:t xml:space="preserve">Test: Appearance, Assay, Dissolution, DSC (lipid form)</w:t>
      </w:r>
    </w:p>
    <w:bookmarkEnd w:id="19"/>
    <w:bookmarkStart w:id="20" w:name="real-time-stability"/>
    <w:p>
      <w:pPr>
        <w:pStyle w:val="Heading3"/>
      </w:pPr>
      <w:r>
        <w:t xml:space="preserve">3.2 Real-Time Stability</w:t>
      </w:r>
    </w:p>
    <w:p>
      <w:pPr>
        <w:pStyle w:val="Compact"/>
        <w:numPr>
          <w:ilvl w:val="0"/>
          <w:numId w:val="1010"/>
        </w:numPr>
      </w:pPr>
      <w:r>
        <w:t xml:space="preserve">Place samples at 25°C / 60% RH</w:t>
      </w:r>
    </w:p>
    <w:p>
      <w:pPr>
        <w:pStyle w:val="Compact"/>
        <w:numPr>
          <w:ilvl w:val="0"/>
          <w:numId w:val="1010"/>
        </w:numPr>
      </w:pPr>
      <w:r>
        <w:t xml:space="preserve">Test at: 1 month, 3 months, 6 months, 12 months</w:t>
      </w:r>
    </w:p>
    <w:p>
      <w:pPr>
        <w:pStyle w:val="Compact"/>
        <w:numPr>
          <w:ilvl w:val="0"/>
          <w:numId w:val="1010"/>
        </w:numPr>
      </w:pPr>
      <w:r>
        <w:t xml:space="preserve">This runs in parallel - don't wait for completion</w:t>
      </w:r>
    </w:p>
    <w:bookmarkEnd w:id="20"/>
    <w:bookmarkStart w:id="21" w:name="dscxrd-monitoring-polymorphism"/>
    <w:p>
      <w:pPr>
        <w:pStyle w:val="Heading3"/>
      </w:pPr>
      <w:r>
        <w:t xml:space="preserve">3.3 DSC/XRD Monitoring (Polymorphism)</w:t>
      </w:r>
    </w:p>
    <w:p>
      <w:pPr>
        <w:pStyle w:val="Compact"/>
        <w:numPr>
          <w:ilvl w:val="0"/>
          <w:numId w:val="1011"/>
        </w:numPr>
      </w:pPr>
      <w:r>
        <w:t xml:space="preserve">Run DSC at T0 and each stability timepoint</w:t>
      </w:r>
    </w:p>
    <w:p>
      <w:pPr>
        <w:pStyle w:val="Compact"/>
        <w:numPr>
          <w:ilvl w:val="0"/>
          <w:numId w:val="1011"/>
        </w:numPr>
      </w:pPr>
      <w:r>
        <w:t xml:space="preserve">Watch for peak shifts indicating polymorphic transition</w:t>
      </w:r>
    </w:p>
    <w:p>
      <w:pPr>
        <w:pStyle w:val="Compact"/>
        <w:numPr>
          <w:ilvl w:val="0"/>
          <w:numId w:val="1011"/>
        </w:numPr>
      </w:pPr>
      <w:r>
        <w:t xml:space="preserve">If dissolution slows &gt;15% at 1 month accelerated: investigate</w:t>
      </w:r>
    </w:p>
    <w:p>
      <w:pPr>
        <w:pStyle w:val="FirstParagraph"/>
      </w:pPr>
      <w:r>
        <w:rPr>
          <w:b/>
          <w:bCs/>
        </w:rPr>
        <w:t xml:space="preserve">Minimum Before Human Use:</w:t>
      </w:r>
    </w:p>
    <w:p>
      <w:pPr>
        <w:pStyle w:val="Compact"/>
        <w:numPr>
          <w:ilvl w:val="0"/>
          <w:numId w:val="1012"/>
        </w:numPr>
      </w:pPr>
      <w:r>
        <w:t xml:space="preserve">1-month accelerated stability data with no significant changes</w:t>
      </w:r>
    </w:p>
    <w:p>
      <w:pPr>
        <w:pStyle w:val="Compact"/>
        <w:numPr>
          <w:ilvl w:val="0"/>
          <w:numId w:val="1012"/>
        </w:numPr>
      </w:pPr>
      <w:r>
        <w:t xml:space="preserve">Dissolution within ±10% of initial</w:t>
      </w:r>
    </w:p>
    <w:p>
      <w:pPr>
        <w:pStyle w:val="Compact"/>
        <w:numPr>
          <w:ilvl w:val="0"/>
          <w:numId w:val="1012"/>
        </w:numPr>
      </w:pPr>
      <w:r>
        <w:t xml:space="preserve">No assay drop &gt;5%</w:t>
      </w:r>
    </w:p>
    <w:p>
      <w:pPr>
        <w:pStyle w:val="FirstParagraph"/>
      </w:pPr>
      <w:r>
        <w:t xml:space="preserve">You can proceed to human use after 1-month accelerated data while continuing longer stability studies.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c2e7b94baef5ed53505fd0ba8ee5225f2660940"/>
    <w:p>
      <w:pPr>
        <w:pStyle w:val="Heading2"/>
      </w:pPr>
      <w:r>
        <w:t xml:space="preserve">Phase 4: Animal PK Study (Recommended but Optional)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4-6 weeks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$30,000-50,000</w:t>
      </w:r>
    </w:p>
    <w:bookmarkStart w:id="23" w:name="study-design"/>
    <w:p>
      <w:pPr>
        <w:pStyle w:val="Heading3"/>
      </w:pPr>
      <w:r>
        <w:t xml:space="preserve">4.1 Study Design</w:t>
      </w:r>
    </w:p>
    <w:p>
      <w:pPr>
        <w:pStyle w:val="Compact"/>
        <w:numPr>
          <w:ilvl w:val="0"/>
          <w:numId w:val="1013"/>
        </w:numPr>
      </w:pPr>
      <w:r>
        <w:t xml:space="preserve">Species: Beagle dogs (n=6)</w:t>
      </w:r>
    </w:p>
    <w:p>
      <w:pPr>
        <w:pStyle w:val="Compact"/>
        <w:numPr>
          <w:ilvl w:val="0"/>
          <w:numId w:val="1013"/>
        </w:numPr>
      </w:pPr>
      <w:r>
        <w:t xml:space="preserve">Design: 3-way crossover (ER fasted, ER fed, IR solution)</w:t>
      </w:r>
    </w:p>
    <w:p>
      <w:pPr>
        <w:pStyle w:val="Compact"/>
        <w:numPr>
          <w:ilvl w:val="0"/>
          <w:numId w:val="1013"/>
        </w:numPr>
      </w:pPr>
      <w:r>
        <w:t xml:space="preserve">Dose: ~2-3 mg/kg (approximately 20-30 mg per dog)</w:t>
      </w:r>
    </w:p>
    <w:p>
      <w:pPr>
        <w:pStyle w:val="Compact"/>
        <w:numPr>
          <w:ilvl w:val="0"/>
          <w:numId w:val="1013"/>
        </w:numPr>
      </w:pPr>
      <w:r>
        <w:t xml:space="preserve">Washout: 1 week between periods</w:t>
      </w:r>
    </w:p>
    <w:bookmarkEnd w:id="23"/>
    <w:bookmarkStart w:id="24" w:name="sampling-analysis"/>
    <w:p>
      <w:pPr>
        <w:pStyle w:val="Heading3"/>
      </w:pPr>
      <w:r>
        <w:t xml:space="preserve">4.2 Sampling &amp; Analysis</w:t>
      </w:r>
    </w:p>
    <w:p>
      <w:pPr>
        <w:pStyle w:val="Compact"/>
        <w:numPr>
          <w:ilvl w:val="0"/>
          <w:numId w:val="1014"/>
        </w:numPr>
      </w:pPr>
      <w:r>
        <w:t xml:space="preserve">Blood samples: pre-dose, 0.5, 1, 2, 3, 4, 6, 8, 12, 24h</w:t>
      </w:r>
    </w:p>
    <w:p>
      <w:pPr>
        <w:pStyle w:val="Compact"/>
        <w:numPr>
          <w:ilvl w:val="0"/>
          <w:numId w:val="1014"/>
        </w:numPr>
      </w:pPr>
      <w:r>
        <w:t xml:space="preserve">Plasma separation and storage at -80°C</w:t>
      </w:r>
    </w:p>
    <w:p>
      <w:pPr>
        <w:pStyle w:val="Compact"/>
        <w:numPr>
          <w:ilvl w:val="0"/>
          <w:numId w:val="1014"/>
        </w:numPr>
      </w:pPr>
      <w:r>
        <w:t xml:space="preserve">LC-MS/MS analysis for minoxidil</w:t>
      </w:r>
    </w:p>
    <w:p>
      <w:pPr>
        <w:pStyle w:val="Compact"/>
        <w:numPr>
          <w:ilvl w:val="0"/>
          <w:numId w:val="1014"/>
        </w:numPr>
      </w:pPr>
      <w:r>
        <w:t xml:space="preserve">Calculate: Cmax, Tmax, AUC0-24, food effect ratio</w:t>
      </w:r>
    </w:p>
    <w:bookmarkEnd w:id="24"/>
    <w:bookmarkStart w:id="25" w:name="success-criteria"/>
    <w:p>
      <w:pPr>
        <w:pStyle w:val="Heading3"/>
      </w:pPr>
      <w:r>
        <w:t xml:space="preserve">4.3 Success Criteria</w:t>
      </w:r>
    </w:p>
    <w:p>
      <w:pPr>
        <w:pStyle w:val="Compact"/>
        <w:numPr>
          <w:ilvl w:val="0"/>
          <w:numId w:val="1015"/>
        </w:numPr>
      </w:pPr>
      <w:r>
        <w:t xml:space="preserve">Tmax delayed ≥2 hours vs IR</w:t>
      </w:r>
    </w:p>
    <w:p>
      <w:pPr>
        <w:pStyle w:val="Compact"/>
        <w:numPr>
          <w:ilvl w:val="0"/>
          <w:numId w:val="1015"/>
        </w:numPr>
      </w:pPr>
      <w:r>
        <w:t xml:space="preserve">Cmax reduced ≥25% vs IR</w:t>
      </w:r>
    </w:p>
    <w:p>
      <w:pPr>
        <w:pStyle w:val="Compact"/>
        <w:numPr>
          <w:ilvl w:val="0"/>
          <w:numId w:val="1015"/>
        </w:numPr>
      </w:pPr>
      <w:r>
        <w:t xml:space="preserve">AUC ≥70% of IR (bioavailability acceptable)</w:t>
      </w:r>
    </w:p>
    <w:p>
      <w:pPr>
        <w:pStyle w:val="Compact"/>
        <w:numPr>
          <w:ilvl w:val="0"/>
          <w:numId w:val="1015"/>
        </w:numPr>
      </w:pPr>
      <w:r>
        <w:t xml:space="preserve">Food effect &lt;2-fold on Cmax</w:t>
      </w:r>
    </w:p>
    <w:p>
      <w:pPr>
        <w:pStyle w:val="FirstParagraph"/>
      </w:pPr>
      <w:r>
        <w:rPr>
          <w:b/>
          <w:bCs/>
        </w:rPr>
        <w:t xml:space="preserve">When to Skip Animal PK:</w:t>
      </w:r>
    </w:p>
    <w:p>
      <w:pPr>
        <w:pStyle w:val="Compact"/>
        <w:numPr>
          <w:ilvl w:val="0"/>
          <w:numId w:val="1016"/>
        </w:numPr>
      </w:pPr>
      <w:r>
        <w:t xml:space="preserve">If going compounding-only route (503A)</w:t>
      </w:r>
    </w:p>
    <w:p>
      <w:pPr>
        <w:pStyle w:val="Compact"/>
        <w:numPr>
          <w:ilvl w:val="0"/>
          <w:numId w:val="1016"/>
        </w:numPr>
      </w:pPr>
      <w:r>
        <w:t xml:space="preserve">If dissolution data looks excellent</w:t>
      </w:r>
    </w:p>
    <w:p>
      <w:pPr>
        <w:pStyle w:val="Compact"/>
        <w:numPr>
          <w:ilvl w:val="0"/>
          <w:numId w:val="1016"/>
        </w:numPr>
      </w:pPr>
      <w:r>
        <w:t xml:space="preserve">If budget is limited - can do human PK directly (with physician oversight)</w:t>
      </w:r>
    </w:p>
    <w:p>
      <w:pPr>
        <w:pStyle w:val="FirstParagraph"/>
      </w:pPr>
      <w:r>
        <w:t xml:space="preserve">Animal PK de-risks but isn't strictly required for compounding.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hase-5-compounding-setup"/>
    <w:p>
      <w:pPr>
        <w:pStyle w:val="Heading2"/>
      </w:pPr>
      <w:r>
        <w:t xml:space="preserve">Phase 5: Compounding Setup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2-4 weeks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$1,000-3,000</w:t>
      </w:r>
    </w:p>
    <w:bookmarkStart w:id="27" w:name="pharmacy-selection"/>
    <w:p>
      <w:pPr>
        <w:pStyle w:val="Heading3"/>
      </w:pPr>
      <w:r>
        <w:t xml:space="preserve">5.1 Pharmacy Selection</w:t>
      </w:r>
    </w:p>
    <w:p>
      <w:pPr>
        <w:pStyle w:val="Compact"/>
        <w:numPr>
          <w:ilvl w:val="0"/>
          <w:numId w:val="1017"/>
        </w:numPr>
      </w:pPr>
      <w:r>
        <w:t xml:space="preserve">Identify 2-3 candidate compounding pharmacies</w:t>
      </w:r>
    </w:p>
    <w:p>
      <w:pPr>
        <w:pStyle w:val="Compact"/>
        <w:numPr>
          <w:ilvl w:val="0"/>
          <w:numId w:val="1017"/>
        </w:numPr>
      </w:pPr>
      <w:r>
        <w:t xml:space="preserve">Confirm lipid matrix / melt granulation capability</w:t>
      </w:r>
    </w:p>
    <w:p>
      <w:pPr>
        <w:pStyle w:val="Compact"/>
        <w:numPr>
          <w:ilvl w:val="0"/>
          <w:numId w:val="1017"/>
        </w:numPr>
      </w:pPr>
      <w:r>
        <w:t xml:space="preserve">Confirm 503A or 503B registration</w:t>
      </w:r>
    </w:p>
    <w:p>
      <w:pPr>
        <w:pStyle w:val="Compact"/>
        <w:numPr>
          <w:ilvl w:val="0"/>
          <w:numId w:val="1017"/>
        </w:numPr>
      </w:pPr>
      <w:r>
        <w:t xml:space="preserve">Request references / quality certifications</w:t>
      </w:r>
    </w:p>
    <w:p>
      <w:pPr>
        <w:pStyle w:val="Compact"/>
        <w:numPr>
          <w:ilvl w:val="0"/>
          <w:numId w:val="1017"/>
        </w:numPr>
      </w:pPr>
      <w:r>
        <w:t xml:space="preserve">Select pharmacy partner</w:t>
      </w:r>
    </w:p>
    <w:bookmarkEnd w:id="27"/>
    <w:bookmarkStart w:id="28" w:name="technology-transfer"/>
    <w:p>
      <w:pPr>
        <w:pStyle w:val="Heading3"/>
      </w:pPr>
      <w:r>
        <w:t xml:space="preserve">5.2 Technology Transfer</w:t>
      </w:r>
    </w:p>
    <w:p>
      <w:pPr>
        <w:pStyle w:val="Compact"/>
        <w:numPr>
          <w:ilvl w:val="0"/>
          <w:numId w:val="1018"/>
        </w:numPr>
      </w:pPr>
      <w:r>
        <w:t xml:space="preserve">Provide formulation protocol to pharmacy</w:t>
      </w:r>
    </w:p>
    <w:p>
      <w:pPr>
        <w:pStyle w:val="Compact"/>
        <w:numPr>
          <w:ilvl w:val="0"/>
          <w:numId w:val="1018"/>
        </w:numPr>
      </w:pPr>
      <w:r>
        <w:t xml:space="preserve">Review process with their pharmacist</w:t>
      </w:r>
    </w:p>
    <w:p>
      <w:pPr>
        <w:pStyle w:val="Compact"/>
        <w:numPr>
          <w:ilvl w:val="0"/>
          <w:numId w:val="1018"/>
        </w:numPr>
      </w:pPr>
      <w:r>
        <w:t xml:space="preserve">Pharmacy makes qualification batch</w:t>
      </w:r>
    </w:p>
    <w:p>
      <w:pPr>
        <w:pStyle w:val="Compact"/>
        <w:numPr>
          <w:ilvl w:val="0"/>
          <w:numId w:val="1018"/>
        </w:numPr>
      </w:pPr>
      <w:r>
        <w:t xml:space="preserve">Run dissolution on pharmacy's batch</w:t>
      </w:r>
    </w:p>
    <w:p>
      <w:pPr>
        <w:pStyle w:val="Compact"/>
        <w:numPr>
          <w:ilvl w:val="0"/>
          <w:numId w:val="1018"/>
        </w:numPr>
      </w:pPr>
      <w:r>
        <w:t xml:space="preserve">Confirm results match your development batches</w:t>
      </w:r>
    </w:p>
    <w:bookmarkEnd w:id="28"/>
    <w:bookmarkStart w:id="29" w:name="prescriber-setup"/>
    <w:p>
      <w:pPr>
        <w:pStyle w:val="Heading3"/>
      </w:pPr>
      <w:r>
        <w:t xml:space="preserve">5.3 Prescriber Setup</w:t>
      </w:r>
    </w:p>
    <w:p>
      <w:pPr>
        <w:pStyle w:val="Compact"/>
        <w:numPr>
          <w:ilvl w:val="0"/>
          <w:numId w:val="1019"/>
        </w:numPr>
      </w:pPr>
      <w:r>
        <w:t xml:space="preserve">Identify 1-3 dermatologists willing to prescribe off-label</w:t>
      </w:r>
    </w:p>
    <w:p>
      <w:pPr>
        <w:pStyle w:val="Compact"/>
        <w:numPr>
          <w:ilvl w:val="0"/>
          <w:numId w:val="1019"/>
        </w:numPr>
      </w:pPr>
      <w:r>
        <w:t xml:space="preserve">Provide them with: formulation info, dosing rationale, safety data</w:t>
      </w:r>
    </w:p>
    <w:p>
      <w:pPr>
        <w:pStyle w:val="Compact"/>
        <w:numPr>
          <w:ilvl w:val="0"/>
          <w:numId w:val="1019"/>
        </w:numPr>
      </w:pPr>
      <w:r>
        <w:t xml:space="preserve">Establish prescription workflow with pharmacy</w:t>
      </w:r>
    </w:p>
    <w:p>
      <w:pPr>
        <w:pStyle w:val="Compact"/>
        <w:numPr>
          <w:ilvl w:val="0"/>
          <w:numId w:val="1019"/>
        </w:numPr>
      </w:pPr>
      <w:r>
        <w:t xml:space="preserve">Create patient consent/information document</w:t>
      </w:r>
    </w:p>
    <w:p>
      <w:pPr>
        <w:pStyle w:val="FirstParagraph"/>
      </w:pPr>
      <w:r>
        <w:rPr>
          <w:b/>
          <w:bCs/>
        </w:rPr>
        <w:t xml:space="preserve">Phase 5 Exit Criteria:</w:t>
      </w:r>
    </w:p>
    <w:p>
      <w:pPr>
        <w:pStyle w:val="Compact"/>
        <w:numPr>
          <w:ilvl w:val="0"/>
          <w:numId w:val="1020"/>
        </w:numPr>
      </w:pPr>
      <w:r>
        <w:t xml:space="preserve">Pharmacy can successfully compound the formulation</w:t>
      </w:r>
    </w:p>
    <w:p>
      <w:pPr>
        <w:pStyle w:val="Compact"/>
        <w:numPr>
          <w:ilvl w:val="0"/>
          <w:numId w:val="1020"/>
        </w:numPr>
      </w:pPr>
      <w:r>
        <w:t xml:space="preserve">Pharmacy's batch matches your dissolution profile</w:t>
      </w:r>
    </w:p>
    <w:p>
      <w:pPr>
        <w:pStyle w:val="Compact"/>
        <w:numPr>
          <w:ilvl w:val="0"/>
          <w:numId w:val="1020"/>
        </w:numPr>
      </w:pPr>
      <w:r>
        <w:t xml:space="preserve">At least one prescribing physician ready</w:t>
      </w:r>
    </w:p>
    <w:p>
      <w:pPr>
        <w:pStyle w:val="Compact"/>
        <w:numPr>
          <w:ilvl w:val="0"/>
          <w:numId w:val="1020"/>
        </w:numPr>
      </w:pPr>
      <w:r>
        <w:t xml:space="preserve">Patient information materials ready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dissolution-testing-providers"/>
    <w:p>
      <w:pPr>
        <w:pStyle w:val="Heading2"/>
      </w:pPr>
      <w:r>
        <w:t xml:space="preserve">Dissolution Testing Providers</w:t>
      </w:r>
    </w:p>
    <w:bookmarkStart w:id="34" w:name="budget-options-fast-cheap"/>
    <w:p>
      <w:pPr>
        <w:pStyle w:val="Heading3"/>
      </w:pPr>
      <w:r>
        <w:t xml:space="preserve">Budget Options (Fast &amp; Cheap)</w:t>
      </w:r>
    </w:p>
    <w:bookmarkStart w:id="31" w:name="university-pharmaceutical-sciences-labs"/>
    <w:p>
      <w:pPr>
        <w:pStyle w:val="Heading4"/>
      </w:pPr>
      <w:r>
        <w:t xml:space="preserve">1. University Pharmaceutical Sciences Labs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$50-150 per dissolution run</w:t>
      </w:r>
    </w:p>
    <w:p>
      <w:pPr>
        <w:pStyle w:val="BodyText"/>
      </w:pPr>
      <w:r>
        <w:rPr>
          <w:b/>
          <w:bCs/>
        </w:rPr>
        <w:t xml:space="preserve">Turnaround:</w:t>
      </w:r>
      <w:r>
        <w:t xml:space="preserve"> </w:t>
      </w:r>
      <w:r>
        <w:t xml:space="preserve">1-2 weeks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Cheapest option; may provide consulting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Slower; may have scheduling constraints</w:t>
      </w:r>
    </w:p>
    <w:p>
      <w:pPr>
        <w:pStyle w:val="BodyText"/>
      </w:pPr>
      <w:r>
        <w:rPr>
          <w:b/>
          <w:bCs/>
        </w:rPr>
        <w:t xml:space="preserve">How to find:</w:t>
      </w:r>
      <w:r>
        <w:t xml:space="preserve"> </w:t>
      </w:r>
      <w:r>
        <w:t xml:space="preserve">Contact pharmacy schools with dissolution equipment (most do)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21"/>
        </w:numPr>
      </w:pPr>
      <w:r>
        <w:t xml:space="preserve">University of Michigan College of Pharmacy</w:t>
      </w:r>
    </w:p>
    <w:p>
      <w:pPr>
        <w:pStyle w:val="Compact"/>
        <w:numPr>
          <w:ilvl w:val="0"/>
          <w:numId w:val="1021"/>
        </w:numPr>
      </w:pPr>
      <w:r>
        <w:t xml:space="preserve">University of Texas at Austin College of Pharmacy</w:t>
      </w:r>
    </w:p>
    <w:p>
      <w:pPr>
        <w:pStyle w:val="Compact"/>
        <w:numPr>
          <w:ilvl w:val="0"/>
          <w:numId w:val="1021"/>
        </w:numPr>
      </w:pPr>
      <w:r>
        <w:t xml:space="preserve">University of North Carolina Eshelman School of Pharmacy</w:t>
      </w:r>
    </w:p>
    <w:p>
      <w:pPr>
        <w:pStyle w:val="Compact"/>
        <w:numPr>
          <w:ilvl w:val="0"/>
          <w:numId w:val="1021"/>
        </w:numPr>
      </w:pPr>
      <w:r>
        <w:t xml:space="preserve">Rutgers Ernest Mario School of Pharmacy</w:t>
      </w:r>
    </w:p>
    <w:p>
      <w:pPr>
        <w:pStyle w:val="Compact"/>
        <w:numPr>
          <w:ilvl w:val="0"/>
          <w:numId w:val="1021"/>
        </w:numPr>
      </w:pPr>
      <w:r>
        <w:t xml:space="preserve">Any local pharmacy school with equipment access</w:t>
      </w:r>
    </w:p>
    <w:bookmarkEnd w:id="31"/>
    <w:bookmarkStart w:id="32" w:name="X286647ee48db923ddf7244107b39fafdb146137"/>
    <w:p>
      <w:pPr>
        <w:pStyle w:val="Heading4"/>
      </w:pPr>
      <w:r>
        <w:t xml:space="preserve">2. PCCA (Professional Compounding Centers of America)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$200-500 per dissolution profile</w:t>
      </w:r>
    </w:p>
    <w:p>
      <w:pPr>
        <w:pStyle w:val="BodyText"/>
      </w:pPr>
      <w:r>
        <w:rPr>
          <w:b/>
          <w:bCs/>
        </w:rPr>
        <w:t xml:space="preserve">Turnaround:</w:t>
      </w:r>
      <w:r>
        <w:t xml:space="preserve"> </w:t>
      </w:r>
      <w:r>
        <w:t xml:space="preserve">1-2 weeks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Compounding-focused; understands your application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May prioritize member pharmacies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pccarx.com | 800-331-2498</w:t>
      </w:r>
    </w:p>
    <w:bookmarkEnd w:id="32"/>
    <w:bookmarkStart w:id="33" w:name="contract-testing-labs-mid-range"/>
    <w:p>
      <w:pPr>
        <w:pStyle w:val="Heading4"/>
      </w:pPr>
      <w:r>
        <w:t xml:space="preserve">3. Contract Testing Labs (Mid-Range)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$300-800 per dissolution profile</w:t>
      </w:r>
    </w:p>
    <w:p>
      <w:pPr>
        <w:pStyle w:val="BodyText"/>
      </w:pPr>
      <w:r>
        <w:rPr>
          <w:b/>
          <w:bCs/>
        </w:rPr>
        <w:t xml:space="preserve">Turnaround:</w:t>
      </w:r>
      <w:r>
        <w:t xml:space="preserve"> </w:t>
      </w:r>
      <w:r>
        <w:t xml:space="preserve">5-10 business days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Analytical Food Laboratories (AFL)</w:t>
            </w:r>
          </w:p>
        </w:tc>
        <w:tc>
          <w:tcPr/>
          <w:p>
            <w:pPr>
              <w:pStyle w:val="Compact"/>
            </w:pPr>
            <w:r>
              <w:t xml:space="preserve">Grand Prairie, TX</w:t>
            </w:r>
          </w:p>
        </w:tc>
        <w:tc>
          <w:tcPr/>
          <w:p>
            <w:pPr>
              <w:pStyle w:val="Compact"/>
            </w:pPr>
            <w:r>
              <w:t xml:space="preserve">afltexas.com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Intertek Pharmaceutical Services</w:t>
            </w:r>
          </w:p>
        </w:tc>
        <w:tc>
          <w:tcPr/>
          <w:p>
            <w:pPr>
              <w:pStyle w:val="Compact"/>
            </w:pPr>
            <w:r>
              <w:t xml:space="preserve">Multiple locations</w:t>
            </w:r>
          </w:p>
        </w:tc>
        <w:tc>
          <w:tcPr/>
          <w:p>
            <w:pPr>
              <w:pStyle w:val="Compact"/>
            </w:pPr>
            <w:r>
              <w:t xml:space="preserve">intertek.com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 Materials Technology</w:t>
            </w:r>
          </w:p>
        </w:tc>
        <w:tc>
          <w:tcPr/>
          <w:p>
            <w:pPr>
              <w:pStyle w:val="Compact"/>
            </w:pPr>
            <w:r>
              <w:t xml:space="preserve">Multiple locations</w:t>
            </w:r>
          </w:p>
        </w:tc>
        <w:tc>
          <w:tcPr/>
          <w:p>
            <w:pPr>
              <w:pStyle w:val="Compact"/>
            </w:pPr>
            <w:r>
              <w:t xml:space="preserve">element.com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SGS Life Sciences</w:t>
            </w:r>
          </w:p>
        </w:tc>
        <w:tc>
          <w:tcPr/>
          <w:p>
            <w:pPr>
              <w:pStyle w:val="Compact"/>
            </w:pPr>
            <w:r>
              <w:t xml:space="preserve">Multiple locations</w:t>
            </w:r>
          </w:p>
        </w:tc>
        <w:tc>
          <w:tcPr/>
          <w:p>
            <w:pPr>
              <w:pStyle w:val="Compact"/>
            </w:pPr>
            <w:r>
              <w:t xml:space="preserve">sgs.com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Eurofins Lancaster Labs</w:t>
            </w:r>
          </w:p>
        </w:tc>
        <w:tc>
          <w:tcPr/>
          <w:p>
            <w:pPr>
              <w:pStyle w:val="Compact"/>
            </w:pPr>
            <w:r>
              <w:t xml:space="preserve">Lancaster, PA</w:t>
            </w:r>
          </w:p>
        </w:tc>
        <w:tc>
          <w:tcPr/>
          <w:p>
            <w:pPr>
              <w:pStyle w:val="Compact"/>
            </w:pPr>
            <w:r>
              <w:t xml:space="preserve">eurofins.com</w:t>
            </w:r>
          </w:p>
        </w:tc>
      </w:tr>
    </w:tbl>
    <w:bookmarkEnd w:id="33"/>
    <w:bookmarkEnd w:id="34"/>
    <w:bookmarkStart w:id="36" w:name="X63a6bc8faf096ddb93e03d16fa43bbc11b2f749"/>
    <w:p>
      <w:pPr>
        <w:pStyle w:val="Heading3"/>
      </w:pPr>
      <w:r>
        <w:t xml:space="preserve">Full-Service CROs (More Expensive but Comprehensive)</w:t>
      </w:r>
    </w:p>
    <w:bookmarkStart w:id="35" w:name="specialty-pharma-cros"/>
    <w:p>
      <w:pPr>
        <w:pStyle w:val="Heading4"/>
      </w:pPr>
      <w:r>
        <w:t xml:space="preserve">4. Specialty Pharma CROs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$1,000-3,000 per study</w:t>
      </w:r>
    </w:p>
    <w:p>
      <w:pPr>
        <w:pStyle w:val="BodyText"/>
      </w:pPr>
      <w:r>
        <w:rPr>
          <w:b/>
          <w:bCs/>
        </w:rPr>
        <w:t xml:space="preserve">Turnaround:</w:t>
      </w:r>
      <w:r>
        <w:t xml:space="preserve"> </w:t>
      </w:r>
      <w:r>
        <w:t xml:space="preserve">2-4 weeks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Full service; can do dissolution + assay + stability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CRO</w:t>
            </w:r>
          </w:p>
        </w:tc>
        <w:tc>
          <w:tcPr/>
          <w:p>
            <w:pPr>
              <w:pStyle w:val="Compact"/>
            </w:pPr>
            <w:r>
              <w:t xml:space="preserve">Specialty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Absorption Systems (Pharmaron)</w:t>
            </w:r>
          </w:p>
        </w:tc>
        <w:tc>
          <w:tcPr/>
          <w:p>
            <w:pPr>
              <w:pStyle w:val="Compact"/>
            </w:pPr>
            <w:r>
              <w:t xml:space="preserve">Dissolution, PK</w:t>
            </w:r>
          </w:p>
        </w:tc>
        <w:tc>
          <w:tcPr/>
          <w:p>
            <w:pPr>
              <w:pStyle w:val="Compact"/>
            </w:pPr>
            <w:r>
              <w:t xml:space="preserve">absorption.com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Analytical</w:t>
            </w:r>
          </w:p>
        </w:tc>
        <w:tc>
          <w:tcPr/>
          <w:p>
            <w:pPr>
              <w:pStyle w:val="Compact"/>
            </w:pPr>
            <w:r>
              <w:t xml:space="preserve">Physical characterization</w:t>
            </w:r>
          </w:p>
        </w:tc>
        <w:tc>
          <w:tcPr/>
          <w:p>
            <w:pPr>
              <w:pStyle w:val="Compact"/>
            </w:pPr>
            <w:r>
              <w:t xml:space="preserve">gatewayanalytical.com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Particle Sciences (Lubrizol)</w:t>
            </w:r>
          </w:p>
        </w:tc>
        <w:tc>
          <w:tcPr/>
          <w:p>
            <w:pPr>
              <w:pStyle w:val="Compact"/>
            </w:pPr>
            <w:r>
              <w:t xml:space="preserve">Formulation support</w:t>
            </w:r>
          </w:p>
        </w:tc>
        <w:tc>
          <w:tcPr/>
          <w:p>
            <w:pPr>
              <w:pStyle w:val="Compact"/>
            </w:pPr>
            <w:r>
              <w:t xml:space="preserve">particlesciences.com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Contract Services</w:t>
            </w:r>
          </w:p>
        </w:tc>
        <w:tc>
          <w:tcPr/>
          <w:p>
            <w:pPr>
              <w:pStyle w:val="Compact"/>
            </w:pPr>
            <w:r>
              <w:t xml:space="preserve">Full CMC package</w:t>
            </w:r>
          </w:p>
        </w:tc>
        <w:tc>
          <w:tcPr/>
          <w:p>
            <w:pPr>
              <w:pStyle w:val="Compact"/>
            </w:pPr>
            <w:r>
              <w:t xml:space="preserve">metricscontractservices.com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Catalent</w:t>
            </w:r>
          </w:p>
        </w:tc>
        <w:tc>
          <w:tcPr/>
          <w:p>
            <w:pPr>
              <w:pStyle w:val="Compact"/>
            </w:pPr>
            <w:r>
              <w:t xml:space="preserve">Full service CDMO</w:t>
            </w:r>
          </w:p>
        </w:tc>
        <w:tc>
          <w:tcPr/>
          <w:p>
            <w:pPr>
              <w:pStyle w:val="Compact"/>
            </w:pPr>
            <w:r>
              <w:t xml:space="preserve">catalent.com</w:t>
            </w:r>
          </w:p>
        </w:tc>
      </w:tr>
    </w:tbl>
    <w:bookmarkEnd w:id="35"/>
    <w:bookmarkEnd w:id="36"/>
    <w:bookmarkStart w:id="38" w:name="diy-option"/>
    <w:p>
      <w:pPr>
        <w:pStyle w:val="Heading3"/>
      </w:pPr>
      <w:r>
        <w:t xml:space="preserve">DIY Option</w:t>
      </w:r>
    </w:p>
    <w:bookmarkStart w:id="37" w:name="buyrent-equipment"/>
    <w:p>
      <w:pPr>
        <w:pStyle w:val="Heading4"/>
      </w:pPr>
      <w:r>
        <w:t xml:space="preserve">5. Buy/Rent Equipment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$5,000-15,000 (used dissolution apparatus) or $500-1,000/month rental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Unlimited testing; fast iteration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Need HPLC/UV for analysis; space requirements</w:t>
      </w:r>
    </w:p>
    <w:p>
      <w:pPr>
        <w:pStyle w:val="BodyText"/>
      </w:pPr>
      <w:r>
        <w:rPr>
          <w:b/>
          <w:bCs/>
        </w:rPr>
        <w:t xml:space="preserve">Equipment sources:</w:t>
      </w:r>
    </w:p>
    <w:p>
      <w:pPr>
        <w:pStyle w:val="Compact"/>
        <w:numPr>
          <w:ilvl w:val="0"/>
          <w:numId w:val="1022"/>
        </w:numPr>
      </w:pPr>
      <w:r>
        <w:t xml:space="preserve">eBay / LabX (used equipment)</w:t>
      </w:r>
    </w:p>
    <w:p>
      <w:pPr>
        <w:pStyle w:val="Compact"/>
        <w:numPr>
          <w:ilvl w:val="0"/>
          <w:numId w:val="1022"/>
        </w:numPr>
      </w:pPr>
      <w:r>
        <w:t xml:space="preserve">Agilent, Sotax, Distek (new equipment)</w:t>
      </w:r>
    </w:p>
    <w:p>
      <w:pPr>
        <w:pStyle w:val="Compact"/>
        <w:numPr>
          <w:ilvl w:val="0"/>
          <w:numId w:val="1022"/>
        </w:numPr>
      </w:pPr>
      <w:r>
        <w:t xml:space="preserve">Excedr (equipment leasing)</w:t>
      </w:r>
    </w:p>
    <w:bookmarkEnd w:id="37"/>
    <w:bookmarkEnd w:id="38"/>
    <w:bookmarkStart w:id="39" w:name="recommended-approach"/>
    <w:p>
      <w:pPr>
        <w:pStyle w:val="Heading3"/>
      </w:pPr>
      <w:r>
        <w:t xml:space="preserve">Recommended Approach</w:t>
      </w:r>
    </w:p>
    <w:p>
      <w:pPr>
        <w:pStyle w:val="FirstParagraph"/>
      </w:pPr>
      <w:r>
        <w:rPr>
          <w:b/>
          <w:bCs/>
        </w:rPr>
        <w:t xml:space="preserve">Start with a university lab or PCCA</w:t>
      </w:r>
      <w:r>
        <w:t xml:space="preserve"> </w:t>
      </w:r>
      <w:r>
        <w:t xml:space="preserve">for initial dissolution testing ($50-200/run). If you need more than 5-10 runs, consider a contract lab for efficiency.</w:t>
      </w:r>
    </w:p>
    <w:p>
      <w:pPr>
        <w:pStyle w:val="BodyText"/>
      </w:pPr>
      <w:r>
        <w:rPr>
          <w:b/>
          <w:bCs/>
        </w:rPr>
        <w:t xml:space="preserve">Budget estimate for dissolution testing:</w:t>
      </w:r>
    </w:p>
    <w:p>
      <w:pPr>
        <w:pStyle w:val="Compact"/>
        <w:numPr>
          <w:ilvl w:val="0"/>
          <w:numId w:val="1023"/>
        </w:numPr>
      </w:pPr>
      <w:r>
        <w:t xml:space="preserve">Development phase (10-15 runs): $500-2,000</w:t>
      </w:r>
    </w:p>
    <w:p>
      <w:pPr>
        <w:pStyle w:val="Compact"/>
        <w:numPr>
          <w:ilvl w:val="0"/>
          <w:numId w:val="1023"/>
        </w:numPr>
      </w:pPr>
      <w:r>
        <w:t xml:space="preserve">Fed-state testing (3-5 runs): $150-500</w:t>
      </w:r>
    </w:p>
    <w:p>
      <w:pPr>
        <w:pStyle w:val="Compact"/>
        <w:numPr>
          <w:ilvl w:val="0"/>
          <w:numId w:val="1023"/>
        </w:numPr>
      </w:pPr>
      <w:r>
        <w:t xml:space="preserve">Stability testing (10-15 runs over 6 months): $500-1,500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Total: $1,150-4,000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nimal-pk-study-providers"/>
    <w:p>
      <w:pPr>
        <w:pStyle w:val="Heading2"/>
      </w:pPr>
      <w:r>
        <w:t xml:space="preserve">Animal PK Study Providers</w:t>
      </w:r>
    </w:p>
    <w:p>
      <w:pPr>
        <w:pStyle w:val="FirstParagraph"/>
      </w:pPr>
      <w:r>
        <w:t xml:space="preserve">If you decide to do the dog PK study: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CRO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Absorption Systems (Pharmaron)</w:t>
            </w:r>
          </w:p>
        </w:tc>
        <w:tc>
          <w:tcPr/>
          <w:p>
            <w:pPr>
              <w:pStyle w:val="Compact"/>
            </w:pPr>
            <w:r>
              <w:t xml:space="preserve">Exton, PA</w:t>
            </w:r>
          </w:p>
        </w:tc>
        <w:tc>
          <w:tcPr/>
          <w:p>
            <w:pPr>
              <w:pStyle w:val="Compact"/>
            </w:pPr>
            <w:r>
              <w:t xml:space="preserve">$35-50K</w:t>
            </w:r>
          </w:p>
        </w:tc>
        <w:tc>
          <w:tcPr/>
          <w:p>
            <w:pPr>
              <w:pStyle w:val="Compact"/>
            </w:pPr>
            <w:r>
              <w:t xml:space="preserve">Excellent for oral PK; IVIVC expertise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QPS Holdings</w:t>
            </w:r>
          </w:p>
        </w:tc>
        <w:tc>
          <w:tcPr/>
          <w:p>
            <w:pPr>
              <w:pStyle w:val="Compact"/>
            </w:pPr>
            <w:r>
              <w:t xml:space="preserve">Newark, DE</w:t>
            </w:r>
          </w:p>
        </w:tc>
        <w:tc>
          <w:tcPr/>
          <w:p>
            <w:pPr>
              <w:pStyle w:val="Compact"/>
            </w:pPr>
            <w:r>
              <w:t xml:space="preserve">$30-45K</w:t>
            </w:r>
          </w:p>
        </w:tc>
        <w:tc>
          <w:tcPr/>
          <w:p>
            <w:pPr>
              <w:pStyle w:val="Compact"/>
            </w:pPr>
            <w:r>
              <w:t xml:space="preserve">Good for small studies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Covance (Labcorp Drug Development)</w:t>
            </w:r>
          </w:p>
        </w:tc>
        <w:tc>
          <w:tcPr/>
          <w:p>
            <w:pPr>
              <w:pStyle w:val="Compact"/>
            </w:pPr>
            <w:r>
              <w:t xml:space="preserve">Madison, WI</w:t>
            </w:r>
          </w:p>
        </w:tc>
        <w:tc>
          <w:tcPr/>
          <w:p>
            <w:pPr>
              <w:pStyle w:val="Compact"/>
            </w:pPr>
            <w:r>
              <w:t xml:space="preserve">$40-60K</w:t>
            </w:r>
          </w:p>
        </w:tc>
        <w:tc>
          <w:tcPr/>
          <w:p>
            <w:pPr>
              <w:pStyle w:val="Compact"/>
            </w:pPr>
            <w:r>
              <w:t xml:space="preserve">Large CRO; may have minimums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Charles River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$40-55K</w:t>
            </w:r>
          </w:p>
        </w:tc>
        <w:tc>
          <w:tcPr/>
          <w:p>
            <w:pPr>
              <w:pStyle w:val="Compact"/>
            </w:pPr>
            <w:r>
              <w:t xml:space="preserve">Large CRO; comprehensive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(PRA Health Sciences)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$35-50K</w:t>
            </w:r>
          </w:p>
        </w:tc>
        <w:tc>
          <w:tcPr/>
          <w:p>
            <w:pPr>
              <w:pStyle w:val="Compact"/>
            </w:pPr>
            <w:r>
              <w:t xml:space="preserve">Good for crossover designs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Frontage Laboratories</w:t>
            </w:r>
          </w:p>
        </w:tc>
        <w:tc>
          <w:tcPr/>
          <w:p>
            <w:pPr>
              <w:pStyle w:val="Compact"/>
            </w:pPr>
            <w:r>
              <w:t xml:space="preserve">Exton, PA</w:t>
            </w:r>
          </w:p>
        </w:tc>
        <w:tc>
          <w:tcPr/>
          <w:p>
            <w:pPr>
              <w:pStyle w:val="Compact"/>
            </w:pPr>
            <w:r>
              <w:t xml:space="preserve">$25-40K</w:t>
            </w:r>
          </w:p>
        </w:tc>
        <w:tc>
          <w:tcPr/>
          <w:p>
            <w:pPr>
              <w:pStyle w:val="Compact"/>
            </w:pPr>
            <w:r>
              <w:t xml:space="preserve">Often more competitive pricing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master-checklist-before-human-use"/>
    <w:p>
      <w:pPr>
        <w:pStyle w:val="Heading2"/>
      </w:pPr>
      <w:r>
        <w:t xml:space="preserve">Master Checklist: Before Human Use</w:t>
      </w:r>
    </w:p>
    <w:bookmarkStart w:id="42" w:name="critical-requirements"/>
    <w:p>
      <w:pPr>
        <w:pStyle w:val="Heading3"/>
      </w:pPr>
      <w:r>
        <w:t xml:space="preserve">CRITICAL REQUIREMENTS</w:t>
      </w:r>
    </w:p>
    <w:p>
      <w:pPr>
        <w:pStyle w:val="Compact"/>
        <w:numPr>
          <w:ilvl w:val="0"/>
          <w:numId w:val="1024"/>
        </w:numPr>
      </w:pPr>
      <w:r>
        <w:t xml:space="preserve">Dissolution meets target profile (20-25% 1h, 50-60% 4h, &gt;85% 12h)</w:t>
      </w:r>
    </w:p>
    <w:p>
      <w:pPr>
        <w:pStyle w:val="Compact"/>
        <w:numPr>
          <w:ilvl w:val="0"/>
          <w:numId w:val="1024"/>
        </w:numPr>
      </w:pPr>
      <w:r>
        <w:t xml:space="preserve">Assay: 95-105% of label claim</w:t>
      </w:r>
    </w:p>
    <w:p>
      <w:pPr>
        <w:pStyle w:val="Compact"/>
        <w:numPr>
          <w:ilvl w:val="0"/>
          <w:numId w:val="1024"/>
        </w:numPr>
      </w:pPr>
      <w:r>
        <w:t xml:space="preserve">Content uniformity: AV ≤ 15.0</w:t>
      </w:r>
    </w:p>
    <w:p>
      <w:pPr>
        <w:pStyle w:val="Compact"/>
        <w:numPr>
          <w:ilvl w:val="0"/>
          <w:numId w:val="1024"/>
        </w:numPr>
      </w:pPr>
      <w:r>
        <w:t xml:space="preserve">1-month accelerated stability: no significant change</w:t>
      </w:r>
    </w:p>
    <w:p>
      <w:pPr>
        <w:pStyle w:val="Compact"/>
        <w:numPr>
          <w:ilvl w:val="0"/>
          <w:numId w:val="1024"/>
        </w:numPr>
      </w:pPr>
      <w:r>
        <w:t xml:space="preserve">Compounding pharmacy can reproduce your results</w:t>
      </w:r>
    </w:p>
    <w:p>
      <w:pPr>
        <w:pStyle w:val="Compact"/>
        <w:numPr>
          <w:ilvl w:val="0"/>
          <w:numId w:val="1024"/>
        </w:numPr>
      </w:pPr>
      <w:r>
        <w:t xml:space="preserve">Licensed physician willing to prescribe</w:t>
      </w:r>
    </w:p>
    <w:p>
      <w:pPr>
        <w:pStyle w:val="Compact"/>
        <w:numPr>
          <w:ilvl w:val="0"/>
          <w:numId w:val="1024"/>
        </w:numPr>
      </w:pPr>
      <w:r>
        <w:t xml:space="preserve">Patient information/consent document prepared</w:t>
      </w:r>
    </w:p>
    <w:bookmarkEnd w:id="42"/>
    <w:bookmarkStart w:id="43" w:name="complete-pre-human-checklist"/>
    <w:p>
      <w:pPr>
        <w:pStyle w:val="Heading3"/>
      </w:pPr>
      <w:r>
        <w:t xml:space="preserve">Complete Pre-Human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Finalize formula composition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Source all excipients (pharma grade)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Source minoxidil API (USP grade, with COA)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Make development batches (3 minimum)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Dissolution testing - fasted media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Dissolution testing - fed state media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Iterate formula if dissolution off-spec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Assay testing (HPLC)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Content uniformity testing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Physical testing (weight, hardness, friability)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Place samples on accelerated stability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1-month accelerated stability results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DSC testing for polymorphism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Dog PK study (fed/fasted)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Optional 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Identify compounding pharmacy partner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Technology transfer to pharmacy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Pharmacy qualification batch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Dissolution on pharmacy's batch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Identify prescribing physician(s)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Create patient information document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Establish prescription workflow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Document all development work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recommended-sequence"/>
    <w:p>
      <w:pPr>
        <w:pStyle w:val="Heading2"/>
      </w:pPr>
      <w:r>
        <w:t xml:space="preserve">Recommended Sequence</w:t>
      </w:r>
    </w:p>
    <w:p>
      <w:pPr>
        <w:pStyle w:val="SourceCode"/>
      </w:pPr>
      <w:r>
        <w:br/>
      </w:r>
      <w:r>
        <w:rPr>
          <w:rStyle w:val="VerbatimChar"/>
        </w:rPr>
        <w:t xml:space="preserve">WEEK 1-2: Source materials, make first batches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WEEK 2-3: Dissolution testing (iterate if needed)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WEEK 3-4: QC testing (assay, CU, physical)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▼                                  ▼</w:t>
      </w:r>
      <w:r>
        <w:br/>
      </w:r>
      <w:r>
        <w:rPr>
          <w:rStyle w:val="VerbatimChar"/>
        </w:rPr>
        <w:t xml:space="preserve">WEEK 4+: Stability testing         WEEK 4-5: Pharmacy outreach</w:t>
      </w:r>
      <w:r>
        <w:br/>
      </w:r>
      <w:r>
        <w:rPr>
          <w:rStyle w:val="VerbatimChar"/>
        </w:rPr>
        <w:t xml:space="preserve">(runs in parallel)                     │</w:t>
      </w:r>
      <w:r>
        <w:br/>
      </w:r>
      <w:r>
        <w:rPr>
          <w:rStyle w:val="VerbatimChar"/>
        </w:rPr>
        <w:t xml:space="preserve">    │                                  ▼</w:t>
      </w:r>
      <w:r>
        <w:br/>
      </w:r>
      <w:r>
        <w:rPr>
          <w:rStyle w:val="VerbatimChar"/>
        </w:rPr>
        <w:t xml:space="preserve">    │                              WEEK 5-6: Tech transfer</w:t>
      </w:r>
      <w:r>
        <w:br/>
      </w:r>
      <w:r>
        <w:rPr>
          <w:rStyle w:val="VerbatimChar"/>
        </w:rPr>
        <w:t xml:space="preserve">    │                                  │</w:t>
      </w:r>
      <w:r>
        <w:br/>
      </w:r>
      <w:r>
        <w:rPr>
          <w:rStyle w:val="VerbatimChar"/>
        </w:rPr>
        <w:t xml:space="preserve">    ▼                                  ▼</w:t>
      </w:r>
      <w:r>
        <w:br/>
      </w:r>
      <w:r>
        <w:rPr>
          <w:rStyle w:val="VerbatimChar"/>
        </w:rPr>
        <w:t xml:space="preserve">WEEK 8: 1-month stability          WEEK 6-7: Pharmacy qualification</w:t>
      </w:r>
      <w:r>
        <w:br/>
      </w:r>
      <w:r>
        <w:rPr>
          <w:rStyle w:val="VerbatimChar"/>
        </w:rPr>
        <w:t xml:space="preserve">         results                       │</w:t>
      </w:r>
      <w:r>
        <w:br/>
      </w:r>
      <w:r>
        <w:rPr>
          <w:rStyle w:val="VerbatimChar"/>
        </w:rPr>
        <w:t xml:space="preserve">    │                                  ▼</w:t>
      </w:r>
      <w:r>
        <w:br/>
      </w:r>
      <w:r>
        <w:rPr>
          <w:rStyle w:val="VerbatimChar"/>
        </w:rPr>
        <w:t xml:space="preserve">    └──────────────┬───────────────────┘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WEEK 8-10: Ready for first patient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OPTIONAL: Dog PK study (parallel track, 4-6 weeks)</w:t>
      </w:r>
    </w:p>
    <w:p>
      <w:r>
        <w:pict>
          <v:rect style="width:0;height:1.5pt" o:hralign="center" o:hrstd="t" o:hr="t"/>
        </w:pict>
      </w:r>
    </w:p>
    <w:bookmarkEnd w:id="45"/>
    <w:bookmarkStart w:id="46" w:name="budget-summary"/>
    <w:p>
      <w:pPr>
        <w:pStyle w:val="Heading2"/>
      </w:pPr>
      <w:r>
        <w:t xml:space="preserve">Budget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Low Estimate</w:t>
            </w:r>
          </w:p>
        </w:tc>
        <w:tc>
          <w:tcPr/>
          <w:p>
            <w:pPr>
              <w:pStyle w:val="Compact"/>
            </w:pPr>
            <w:r>
              <w:t xml:space="preserve">High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Excipients &amp; API (development quantities)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Dissolution testing (15-20 runs)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$4,000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Assay &amp; CU testing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testing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Stability testing (6 months)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$4,000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DSC/XRD testing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tech transfer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(20%)</w:t>
            </w:r>
          </w:p>
        </w:tc>
        <w:tc>
          <w:tcPr/>
          <w:p>
            <w:pPr>
              <w:pStyle w:val="Compact"/>
            </w:pPr>
            <w:r>
              <w:t xml:space="preserve">$900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(without dog PK)</w:t>
            </w:r>
          </w:p>
        </w:tc>
        <w:tc>
          <w:tcPr/>
          <w:p>
            <w:pPr>
              <w:pStyle w:val="Compact"/>
            </w:pPr>
            <w:r>
              <w:t xml:space="preserve">$5,400</w:t>
            </w:r>
          </w:p>
        </w:tc>
        <w:tc>
          <w:tcPr/>
          <w:p>
            <w:pPr>
              <w:pStyle w:val="Compact"/>
            </w:pPr>
            <w:r>
              <w:t xml:space="preserve">$18,000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Dog PK study (optional)</w:t>
            </w:r>
          </w:p>
        </w:tc>
        <w:tc>
          <w:tcPr/>
          <w:p>
            <w:pPr>
              <w:pStyle w:val="Compact"/>
            </w:pPr>
            <w:r>
              <w:t xml:space="preserve">$25,000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(with dog PK)</w:t>
            </w:r>
          </w:p>
        </w:tc>
        <w:tc>
          <w:tcPr/>
          <w:p>
            <w:pPr>
              <w:pStyle w:val="Compact"/>
            </w:pPr>
            <w:r>
              <w:t xml:space="preserve">$30,400</w:t>
            </w:r>
          </w:p>
        </w:tc>
        <w:tc>
          <w:tcPr/>
          <w:p>
            <w:pPr>
              <w:pStyle w:val="Compact"/>
            </w:pPr>
            <w:r>
              <w:t xml:space="preserve">$68,000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key-decision-points"/>
    <w:p>
      <w:pPr>
        <w:pStyle w:val="Heading2"/>
      </w:pPr>
      <w:r>
        <w:t xml:space="preserve">Key Decision Points</w:t>
      </w:r>
    </w:p>
    <w:bookmarkStart w:id="47" w:name="Xd89137dbf05a26b4b783c1fa929924f4bdc3912"/>
    <w:p>
      <w:pPr>
        <w:pStyle w:val="Heading4"/>
      </w:pPr>
      <w:r>
        <w:t xml:space="preserve">Decision 1: After Initial Dissolution Testing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If dissolution meets spec:</w:t>
      </w:r>
      <w:r>
        <w:t xml:space="preserve"> </w:t>
      </w:r>
      <w:r>
        <w:t xml:space="preserve">Proceed to QC and stability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If dissolution too fast:</w:t>
      </w:r>
      <w:r>
        <w:t xml:space="preserve"> </w:t>
      </w:r>
      <w:r>
        <w:t xml:space="preserve">Increase Compritol, decrease PEG, re-test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If dissolution too slow:</w:t>
      </w:r>
      <w:r>
        <w:t xml:space="preserve"> </w:t>
      </w:r>
      <w:r>
        <w:t xml:space="preserve">Decrease Compritol, increase PEG, re-test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If can't get it right after 4 iterations:</w:t>
      </w:r>
      <w:r>
        <w:t xml:space="preserve"> </w:t>
      </w:r>
      <w:r>
        <w:t xml:space="preserve">Consider pivoting to MUPS</w:t>
      </w:r>
    </w:p>
    <w:bookmarkEnd w:id="47"/>
    <w:bookmarkStart w:id="48" w:name="Xa4d0a4acf14ee9dc7e6f5802796e8e83d206794"/>
    <w:p>
      <w:pPr>
        <w:pStyle w:val="Heading4"/>
      </w:pPr>
      <w:r>
        <w:t xml:space="preserve">Decision 2: After 1-Month Accelerated Stability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If stable:</w:t>
      </w:r>
      <w:r>
        <w:t xml:space="preserve"> </w:t>
      </w:r>
      <w:r>
        <w:t xml:space="preserve">Proceed to compounding setup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If dissolution slows &gt;15%:</w:t>
      </w:r>
      <w:r>
        <w:t xml:space="preserve"> </w:t>
      </w:r>
      <w:r>
        <w:t xml:space="preserve">Add annealing step, re-test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If assay drops &gt;5%:</w:t>
      </w:r>
      <w:r>
        <w:t xml:space="preserve"> </w:t>
      </w:r>
      <w:r>
        <w:t xml:space="preserve">Investigate degradation, may need formulation change</w:t>
      </w:r>
    </w:p>
    <w:bookmarkEnd w:id="48"/>
    <w:bookmarkStart w:id="49" w:name="decision-3-dog-pk-study"/>
    <w:p>
      <w:pPr>
        <w:pStyle w:val="Heading4"/>
      </w:pPr>
      <w:r>
        <w:t xml:space="preserve">Decision 3: Dog PK Study?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 it if:</w:t>
      </w:r>
      <w:r>
        <w:t xml:space="preserve"> </w:t>
      </w:r>
      <w:r>
        <w:t xml:space="preserve">You plan to eventually seek FDA approval, or want to de-risk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Skip it if:</w:t>
      </w:r>
      <w:r>
        <w:t xml:space="preserve"> </w:t>
      </w:r>
      <w:r>
        <w:t xml:space="preserve">Budget limited, going compounding-only, dissolution looks excellent</w:t>
      </w:r>
    </w:p>
    <w:bookmarkEnd w:id="4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prepared: February 5, 2026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Execution Roadmap: ER Minoxidil Development to Human Use</dc:title>
  <dc:creator/>
  <dc:language>en</dc:language>
  <cp:keywords/>
  <dcterms:created xsi:type="dcterms:W3CDTF">2026-02-05T13:02:50Z</dcterms:created>
  <dcterms:modified xsi:type="dcterms:W3CDTF">2026-02-05T13:02:50Z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