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Recommendation: Extended-Release Minoxidil Formulation</w:t>
      </w:r>
    </w:p>
    <w:bookmarkStart w:id="21" w:name="Xcf15d8003bed75afabc4896ca857d1a7e93f130"/>
    <w:p>
      <w:pPr>
        <w:pStyle w:val="Heading1"/>
      </w:pPr>
      <w:r>
        <w:t xml:space="preserve">Final Recommendation: Extended-Release Minoxidil Formulation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February 5, 2026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Which formulation to pursue first for competitive ER minoxidil product</w:t>
      </w:r>
    </w:p>
    <w:bookmarkStart w:id="9" w:name="final-verdict-lipid-matrix"/>
    <w:p>
      <w:pPr>
        <w:pStyle w:val="Heading2"/>
      </w:pPr>
      <w:r>
        <w:t xml:space="preserve">FINAL VERDICT: LIPID MATRIX</w:t>
      </w:r>
    </w:p>
    <w:p>
      <w:pPr>
        <w:pStyle w:val="FirstParagraph"/>
      </w:pPr>
      <w:r>
        <w:t xml:space="preserve">Strongest patent defense + Simplest manufacturing + Lowest cost</w:t>
      </w:r>
    </w:p>
    <w:bookmarkEnd w:id="9"/>
    <w:p>
      <w:r>
        <w:pict>
          <v:rect style="width:0;height:1.5pt" o:hralign="center" o:hrstd="t" o:hr="t"/>
        </w:pict>
      </w:r>
    </w:p>
    <w:bookmarkStart w:id="10" w:name="head-to-head-comparison"/>
    <w:p>
      <w:pPr>
        <w:pStyle w:val="Heading2"/>
      </w:pPr>
      <w:r>
        <w:t xml:space="preserve">Head-to-Head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MUPS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  <w:tc>
          <w:tcPr/>
          <w:p>
            <w:pPr>
              <w:pStyle w:val="Compac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Patent Defense</w:t>
            </w:r>
          </w:p>
        </w:tc>
        <w:tc>
          <w:tcPr/>
          <w:p>
            <w:pPr>
              <w:pStyle w:val="Compact"/>
            </w:pPr>
            <w:r>
              <w:t xml:space="preserve">Medium - ethylcellulose is still a cellulose derivative</w:t>
            </w:r>
          </w:p>
        </w:tc>
        <w:tc>
          <w:tcPr/>
          <w:p>
            <w:pPr>
              <w:pStyle w:val="Compact"/>
            </w:pPr>
            <w:r>
              <w:t xml:space="preserve">Strongest - lipids are a completely different chemical class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Invalidity Defense</w:t>
            </w:r>
          </w:p>
        </w:tc>
        <w:tc>
          <w:tcPr/>
          <w:p>
            <w:pPr>
              <w:pStyle w:val="Compact"/>
            </w:pPr>
            <w:r>
              <w:t xml:space="preserve">Strong (IR minoxidil PK overlaps claims)</w:t>
            </w:r>
          </w:p>
        </w:tc>
        <w:tc>
          <w:tcPr/>
          <w:p>
            <w:pPr>
              <w:pStyle w:val="Compact"/>
            </w:pPr>
            <w:r>
              <w:t xml:space="preserve">Strong (IR minoxidil PK overlaps claims)</w:t>
            </w:r>
          </w:p>
        </w:tc>
        <w:tc>
          <w:tcPr/>
          <w:p>
            <w:pPr>
              <w:pStyle w:val="Compact"/>
            </w:pPr>
            <w:r>
              <w:t xml:space="preserve">Tie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 Predictability</w:t>
            </w:r>
          </w:p>
        </w:tc>
        <w:tc>
          <w:tcPr/>
          <w:p>
            <w:pPr>
              <w:pStyle w:val="Compact"/>
            </w:pPr>
            <w:r>
              <w:t xml:space="preserve">85% - well-characterized coating systems</w:t>
            </w:r>
          </w:p>
        </w:tc>
        <w:tc>
          <w:tcPr/>
          <w:p>
            <w:pPr>
              <w:pStyle w:val="Compact"/>
            </w:pPr>
            <w:r>
              <w:t xml:space="preserve">60% - food effect may cause variability</w:t>
            </w:r>
          </w:p>
        </w:tc>
        <w:tc>
          <w:tcPr/>
          <w:p>
            <w:pPr>
              <w:pStyle w:val="Compact"/>
            </w:pPr>
            <w:r>
              <w:t xml:space="preserve">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Manufacturing</w:t>
            </w:r>
          </w:p>
        </w:tc>
        <w:tc>
          <w:tcPr/>
          <w:p>
            <w:pPr>
              <w:pStyle w:val="Compact"/>
            </w:pPr>
            <w:r>
              <w:t xml:space="preserve">Medium - requires Wurster coating equipment</w:t>
            </w:r>
          </w:p>
        </w:tc>
        <w:tc>
          <w:tcPr/>
          <w:p>
            <w:pPr>
              <w:pStyle w:val="Compact"/>
            </w:pPr>
            <w:r>
              <w:t xml:space="preserve">Simple - melt granulation, standard equipment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Lower (simpler process, cheaper excipients)</w:t>
            </w: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Regulatory Precedent</w:t>
            </w:r>
          </w:p>
        </w:tc>
        <w:tc>
          <w:tcPr/>
          <w:p>
            <w:pPr>
              <w:pStyle w:val="Compact"/>
            </w:pPr>
            <w:r>
              <w:t xml:space="preserve">More common for ER generics</w:t>
            </w:r>
          </w:p>
        </w:tc>
        <w:tc>
          <w:tcPr/>
          <w:p>
            <w:pPr>
              <w:pStyle w:val="Compact"/>
            </w:pPr>
            <w:r>
              <w:t xml:space="preserve">Established but less common</w:t>
            </w:r>
          </w:p>
        </w:tc>
        <w:tc>
          <w:tcPr/>
          <w:p>
            <w:pPr>
              <w:pStyle w:val="Compact"/>
            </w:pPr>
            <w:r>
              <w:t xml:space="preserve">Slight edge MUPS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LIPID MATRIX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why-lipid-matrix-wins"/>
    <w:p>
      <w:pPr>
        <w:pStyle w:val="Heading2"/>
      </w:pPr>
      <w:r>
        <w:t xml:space="preserve">Why Lipid Matrix Wins</w:t>
      </w:r>
    </w:p>
    <w:bookmarkStart w:id="11" w:name="strongest-patent-position"/>
    <w:p>
      <w:pPr>
        <w:pStyle w:val="Heading3"/>
      </w:pPr>
      <w:r>
        <w:t xml:space="preserve">1. Strongest Patent Position</w:t>
      </w:r>
    </w:p>
    <w:p>
      <w:pPr>
        <w:pStyle w:val="Compact"/>
        <w:numPr>
          <w:ilvl w:val="0"/>
          <w:numId w:val="1001"/>
        </w:numPr>
      </w:pPr>
      <w:r>
        <w:t xml:space="preserve">Lipids (Compritol/Precirol) are</w:t>
      </w:r>
      <w:r>
        <w:t xml:space="preserve"> </w:t>
      </w:r>
      <w:r>
        <w:rPr>
          <w:b/>
          <w:bCs/>
        </w:rPr>
        <w:t xml:space="preserve">NOT cellulose derivatives</w:t>
      </w:r>
      <w:r>
        <w:t xml:space="preserve"> </w:t>
      </w:r>
      <w:r>
        <w:t xml:space="preserve">- completely different chemistry</w:t>
      </w:r>
    </w:p>
    <w:p>
      <w:pPr>
        <w:pStyle w:val="Compact"/>
        <w:numPr>
          <w:ilvl w:val="0"/>
          <w:numId w:val="1001"/>
        </w:numPr>
      </w:pPr>
      <w:r>
        <w:t xml:space="preserve">HPMC and ethylcellulose are both cellulose-based - a patent litigator could argue they're in the same family</w:t>
      </w:r>
    </w:p>
    <w:p>
      <w:pPr>
        <w:pStyle w:val="Compact"/>
        <w:numPr>
          <w:ilvl w:val="0"/>
          <w:numId w:val="1001"/>
        </w:numPr>
      </w:pPr>
      <w:r>
        <w:t xml:space="preserve">Lipids are</w:t>
      </w:r>
      <w:r>
        <w:t xml:space="preserve"> </w:t>
      </w:r>
      <w:r>
        <w:rPr>
          <w:b/>
          <w:bCs/>
        </w:rPr>
        <w:t xml:space="preserve">NEVER mentioned</w:t>
      </w:r>
      <w:r>
        <w:t xml:space="preserve"> </w:t>
      </w:r>
      <w:r>
        <w:t xml:space="preserve">in Veradermics' patent specification</w:t>
      </w:r>
    </w:p>
    <w:p>
      <w:pPr>
        <w:pStyle w:val="Compact"/>
        <w:numPr>
          <w:ilvl w:val="0"/>
          <w:numId w:val="1001"/>
        </w:numPr>
      </w:pPr>
      <w:r>
        <w:t xml:space="preserve">Release mechanism (lipid erosion) is fundamentally different from gel diffusion</w:t>
      </w:r>
    </w:p>
    <w:bookmarkEnd w:id="11"/>
    <w:bookmarkStart w:id="12" w:name="two-layers-of-defense"/>
    <w:p>
      <w:pPr>
        <w:pStyle w:val="Heading3"/>
      </w:pPr>
      <w:r>
        <w:t xml:space="preserve">2. Two Layers of Defense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Defense Layer</w:t>
            </w:r>
          </w:p>
        </w:tc>
        <w:tc>
          <w:tcPr/>
          <w:p>
            <w:pPr>
              <w:pStyle w:val="Compact"/>
            </w:pPr>
            <w:r>
              <w:t xml:space="preserve">Argument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Non-Infringement</w:t>
            </w:r>
          </w:p>
        </w:tc>
        <w:tc>
          <w:tcPr/>
          <w:p>
            <w:pPr>
              <w:pStyle w:val="Compact"/>
            </w:pPr>
            <w:r>
              <w:t xml:space="preserve">Lipids are not "release modifiers" as defined in the patent specification. Different chemical class, different mechanism.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Invalidity</w:t>
            </w:r>
          </w:p>
        </w:tc>
        <w:tc>
          <w:tcPr/>
          <w:p>
            <w:pPr>
              <w:pStyle w:val="Compact"/>
            </w:pPr>
            <w:r>
              <w:t xml:space="preserve">Immediate-release minoxidil already achieves the claimed PK parameters (Cmax 0.25-20 ng/mL, Tmax 30-360 min). Claims may be anticipated by prior art.</w:t>
            </w:r>
          </w:p>
        </w:tc>
      </w:tr>
    </w:tbl>
    <w:bookmarkEnd w:id="12"/>
    <w:bookmarkStart w:id="13" w:name="simpler-path-to-market"/>
    <w:p>
      <w:pPr>
        <w:pStyle w:val="Heading3"/>
      </w:pPr>
      <w:r>
        <w:t xml:space="preserve">3. Simpler Path to Market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Melt granulation</w:t>
      </w:r>
      <w:r>
        <w:t xml:space="preserve"> </w:t>
      </w:r>
      <w:r>
        <w:t xml:space="preserve">is straightforward - no specialized coating equipment needed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Lower manufacturing costs</w:t>
      </w:r>
      <w:r>
        <w:t xml:space="preserve"> </w:t>
      </w:r>
      <w:r>
        <w:t xml:space="preserve">= better margins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Faster scale-up</w:t>
      </w:r>
      <w:r>
        <w:t xml:space="preserve"> </w:t>
      </w:r>
      <w:r>
        <w:t xml:space="preserve">from lab to commercial production</w:t>
      </w:r>
    </w:p>
    <w:p>
      <w:pPr>
        <w:pStyle w:val="Compact"/>
        <w:numPr>
          <w:ilvl w:val="0"/>
          <w:numId w:val="1002"/>
        </w:numPr>
      </w:pPr>
      <w:r>
        <w:t xml:space="preserve">Compritol and Precirol are well-characterized, readily available excipients</w:t>
      </w:r>
    </w:p>
    <w:bookmarkEnd w:id="13"/>
    <w:bookmarkStart w:id="14" w:name="the-food-effect-is-manageable"/>
    <w:p>
      <w:pPr>
        <w:pStyle w:val="Heading3"/>
      </w:pPr>
      <w:r>
        <w:t xml:space="preserve">4. The Food Effect is Manageable</w:t>
      </w:r>
    </w:p>
    <w:p>
      <w:pPr>
        <w:pStyle w:val="FirstParagraph"/>
      </w:pPr>
      <w:r>
        <w:t xml:space="preserve">Yes, there may be PK variability with high-fat meals. But this is a</w:t>
      </w:r>
      <w:r>
        <w:t xml:space="preserve"> </w:t>
      </w:r>
      <w:r>
        <w:rPr>
          <w:b/>
          <w:bCs/>
        </w:rPr>
        <w:t xml:space="preserve">known variable</w:t>
      </w:r>
      <w:r>
        <w:t xml:space="preserve"> </w:t>
      </w:r>
      <w:r>
        <w:t xml:space="preserve">you can design around:</w:t>
      </w:r>
    </w:p>
    <w:p>
      <w:pPr>
        <w:pStyle w:val="Compact"/>
        <w:numPr>
          <w:ilvl w:val="0"/>
          <w:numId w:val="1003"/>
        </w:numPr>
      </w:pPr>
      <w:r>
        <w:t xml:space="preserve">Label as "take on empty stomach" or "take consistently with/without food"</w:t>
      </w:r>
    </w:p>
    <w:p>
      <w:pPr>
        <w:pStyle w:val="Compact"/>
        <w:numPr>
          <w:ilvl w:val="0"/>
          <w:numId w:val="1003"/>
        </w:numPr>
      </w:pPr>
      <w:r>
        <w:t xml:space="preserve">Conduct fed/fasted PK study early to characterize the effect</w:t>
      </w:r>
    </w:p>
    <w:p>
      <w:pPr>
        <w:pStyle w:val="Compact"/>
        <w:numPr>
          <w:ilvl w:val="0"/>
          <w:numId w:val="1003"/>
        </w:numPr>
      </w:pPr>
      <w:r>
        <w:t xml:space="preserve">Adjust lipid composition (more Compritol = slower erosion) if needed</w:t>
      </w:r>
    </w:p>
    <w:p>
      <w:pPr>
        <w:pStyle w:val="Compact"/>
        <w:numPr>
          <w:ilvl w:val="0"/>
          <w:numId w:val="1003"/>
        </w:numPr>
      </w:pPr>
      <w:r>
        <w:t xml:space="preserve">Many approved products have food effect labeling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the-one-caveat"/>
    <w:p>
      <w:pPr>
        <w:pStyle w:val="Heading2"/>
      </w:pPr>
      <w:r>
        <w:t xml:space="preserve">The One Caveat</w:t>
      </w:r>
    </w:p>
    <w:p>
      <w:pPr>
        <w:pStyle w:val="FirstParagraph"/>
      </w:pPr>
      <w:r>
        <w:t xml:space="preserve">If you need</w:t>
      </w:r>
      <w:r>
        <w:t xml:space="preserve"> </w:t>
      </w:r>
      <w:r>
        <w:rPr>
          <w:b/>
          <w:bCs/>
        </w:rPr>
        <w:t xml:space="preserve">highly predictable PK</w:t>
      </w:r>
      <w:r>
        <w:t xml:space="preserve"> </w:t>
      </w:r>
      <w:r>
        <w:t xml:space="preserve">(e.g., for a pivotal bioequivalence study against Veradermics), MUPS gives you more control over the release profile through coating thickness adjustments.</w:t>
      </w:r>
    </w:p>
    <w:p>
      <w:pPr>
        <w:pStyle w:val="BodyText"/>
      </w:pPr>
      <w:r>
        <w:t xml:space="preserve">However, for a</w:t>
      </w:r>
      <w:r>
        <w:t xml:space="preserve"> </w:t>
      </w:r>
      <w:r>
        <w:rPr>
          <w:b/>
          <w:bCs/>
        </w:rPr>
        <w:t xml:space="preserve">first-in-human proof-of-concept</w:t>
      </w:r>
      <w:r>
        <w:t xml:space="preserve">, Lipid Matrix gets you there faster and cheaper with better IP protection.</w:t>
      </w:r>
    </w:p>
    <w:p>
      <w:r>
        <w:pict>
          <v:rect style="width:0;height:1.5pt" o:hralign="center" o:hrstd="t" o:hr="t"/>
        </w:pict>
      </w:r>
    </w:p>
    <w:bookmarkEnd w:id="16"/>
    <w:bookmarkStart w:id="18" w:name="recommended-action-plan"/>
    <w:p>
      <w:pPr>
        <w:pStyle w:val="Heading2"/>
      </w:pPr>
      <w:r>
        <w:t xml:space="preserve">Recommended Action Plan</w:t>
      </w:r>
    </w:p>
    <w:bookmarkStart w:id="17" w:name="start-with-lipid-matrix-but"/>
    <w:p>
      <w:pPr>
        <w:pStyle w:val="Heading3"/>
      </w:pPr>
      <w:r>
        <w:t xml:space="preserve">Start with Lipid Matrix, but: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 a fed/fasted PK study early</w:t>
      </w:r>
      <w:r>
        <w:t xml:space="preserve"> </w:t>
      </w:r>
      <w:r>
        <w:t xml:space="preserve">(even in dogs first) to characterize the food effect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If food effect is unacceptable</w:t>
      </w:r>
      <w:r>
        <w:t xml:space="preserve">, pivot to MUPS as backup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 an IPR against Veradermics' patent</w:t>
      </w:r>
      <w:r>
        <w:t xml:space="preserve"> </w:t>
      </w:r>
      <w:r>
        <w:t xml:space="preserve">based on the invalidity argument - this protects you regardless of which formulation you choose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 everything</w:t>
      </w:r>
      <w:r>
        <w:t xml:space="preserve"> </w:t>
      </w:r>
      <w:r>
        <w:t xml:space="preserve">for patent defense purposes</w:t>
      </w:r>
    </w:p>
    <w:bookmarkEnd w:id="17"/>
    <w:p>
      <w:r>
        <w:pict>
          <v:rect style="width:0;height:1.5pt" o:hralign="center" o:hrstd="t" o:hr="t"/>
        </w:pict>
      </w:r>
    </w:p>
    <w:bookmarkEnd w:id="18"/>
    <w:bookmarkStart w:id="19" w:name="Xe47db915c2ff8839de56729c7d1e5adb851bcef"/>
    <w:p>
      <w:pPr>
        <w:pStyle w:val="Heading2"/>
      </w:pPr>
      <w:r>
        <w:t xml:space="preserve">Lipid Matrix Formulation Summary (Optimized for Veradermics-Matching PK)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 (mg)</w:t>
            </w:r>
          </w:p>
        </w:tc>
        <w:tc>
          <w:tcPr/>
          <w:p>
            <w:pPr>
              <w:pStyle w:val="Compact"/>
            </w:pPr>
            <w:r>
              <w:t xml:space="preserve">% w/w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Minoxidil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3.4%</w:t>
            </w:r>
          </w:p>
        </w:tc>
        <w:tc>
          <w:tcPr/>
          <w:p>
            <w:pPr>
              <w:pStyle w:val="Compact"/>
            </w:pPr>
            <w:r>
              <w:t xml:space="preserve">Active ingredient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Compritol 888 ATO (glyceryl behenate)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Lipid matrix former (increased for lower Cmax)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Precirol ATO 5 (glyceryl palmitostearate)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Secondary lipid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6000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Pore former (ensures complete release)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Microcrystalline cellulose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  <w:tc>
          <w:tcPr/>
          <w:p>
            <w:pPr>
              <w:pStyle w:val="Compact"/>
            </w:pPr>
            <w:r>
              <w:t xml:space="preserve">22.0%</w:t>
            </w:r>
          </w:p>
        </w:tc>
        <w:tc>
          <w:tcPr/>
          <w:p>
            <w:pPr>
              <w:pStyle w:val="Compact"/>
            </w:pPr>
            <w:r>
              <w:t xml:space="preserve">Filler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Lactose monohydrate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7.0%</w:t>
            </w:r>
          </w:p>
        </w:tc>
        <w:tc>
          <w:tcPr/>
          <w:p>
            <w:pPr>
              <w:pStyle w:val="Compact"/>
            </w:pPr>
            <w:r>
              <w:t xml:space="preserve">Filler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Poloxamer 188</w:t>
            </w:r>
          </w:p>
        </w:tc>
        <w:tc>
          <w:tcPr/>
          <w:p>
            <w:pPr>
              <w:pStyle w:val="Compact"/>
            </w:pPr>
            <w:r>
              <w:t xml:space="preserve">3.75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  <w:tc>
          <w:tcPr/>
          <w:p>
            <w:pPr>
              <w:pStyle w:val="Compact"/>
            </w:pPr>
            <w:r>
              <w:t xml:space="preserve">Surfactant (wetting)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Colloidal silicon dioxide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Glidant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Magnesium stearate</w:t>
            </w:r>
          </w:p>
        </w:tc>
        <w:tc>
          <w:tcPr/>
          <w:p>
            <w:pPr>
              <w:pStyle w:val="Compact"/>
            </w:pPr>
            <w:r>
              <w:t xml:space="preserve">5.25</w:t>
            </w:r>
          </w:p>
        </w:tc>
        <w:tc>
          <w:tcPr/>
          <w:p>
            <w:pPr>
              <w:pStyle w:val="Compact"/>
            </w:pPr>
            <w:r>
              <w:t xml:space="preserve">2.1%</w:t>
            </w:r>
          </w:p>
        </w:tc>
        <w:tc>
          <w:tcPr/>
          <w:p>
            <w:pPr>
              <w:pStyle w:val="Compact"/>
            </w:pPr>
            <w:r>
              <w:t xml:space="preserve">Lubricant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tablet weight</w:t>
            </w:r>
          </w:p>
        </w:tc>
        <w:tc>
          <w:tcPr/>
          <w:p>
            <w:pPr>
              <w:pStyle w:val="Compact"/>
            </w:pPr>
            <w:r>
              <w:t xml:space="preserve">250.0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Dosing:</w:t>
      </w:r>
      <w:r>
        <w:t xml:space="preserve"> </w:t>
      </w:r>
      <w:r>
        <w:t xml:space="preserve">8.5 mg twice daily (q12h) - 17 mg total daily dose</w:t>
      </w:r>
    </w:p>
    <w:p>
      <w:pPr>
        <w:pStyle w:val="BodyText"/>
      </w:pPr>
      <w:r>
        <w:rPr>
          <w:b/>
          <w:bCs/>
        </w:rPr>
        <w:t xml:space="preserve">Target PK:</w:t>
      </w:r>
      <w:r>
        <w:t xml:space="preserve"> </w:t>
      </w:r>
      <w:r>
        <w:t xml:space="preserve">Cmax 6-10 ng/mL (matching Veradermics ~7-8 ng/mL); maintain &gt;1.62 ng/mL for 10-12h</w:t>
      </w:r>
    </w:p>
    <w:p>
      <w:r>
        <w:pict>
          <v:rect style="width:0;height:1.5pt" o:hralign="center" o:hrstd="t" o:hr="t"/>
        </w:pict>
      </w:r>
    </w:p>
    <w:bookmarkEnd w:id="19"/>
    <w:bookmarkStart w:id="20" w:name="bottom-line"/>
    <w:p>
      <w:pPr>
        <w:pStyle w:val="Heading2"/>
      </w:pPr>
      <w:r>
        <w:t xml:space="preserve">Bottom Line</w:t>
      </w:r>
    </w:p>
    <w:p>
      <w:pPr>
        <w:pStyle w:val="FirstParagraph"/>
      </w:pPr>
      <w:r>
        <w:rPr>
          <w:b/>
          <w:bCs/>
        </w:rPr>
        <w:t xml:space="preserve">Lipid Matrix = Best patent defense + Simplest manufacturing + Lowest cost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The food effect is a known variable you can design around.</w:t>
      </w:r>
      <w:r>
        <w:br/>
      </w:r>
      <w:r>
        <w:t xml:space="preserve">The patent risk with MUPS (cellulose derivative similarity) is harder to eliminate.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Go with Lipid Matrix first.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recommendation is based on technical and patent analysis. Consult with regulatory, legal, and pharmaceutical development experts before proceeding.</w:t>
      </w:r>
    </w:p>
    <w:p>
      <w:pPr>
        <w:pStyle w:val="BodyText"/>
      </w:pPr>
      <w:r>
        <w:rPr>
          <w:i/>
          <w:iCs/>
        </w:rPr>
        <w:t xml:space="preserve">Document prepared: February 5, 2026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Recommendation: Extended-Release Minoxidil Formulation</dc:title>
  <dc:creator/>
  <dc:language>en</dc:language>
  <cp:keywords/>
  <dcterms:created xsi:type="dcterms:W3CDTF">2026-02-05T13:02:50Z</dcterms:created>
  <dcterms:modified xsi:type="dcterms:W3CDTF">2026-02-05T13:02:50Z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