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C22A6B" w14:textId="77777777" w:rsidR="008403A2" w:rsidRPr="006E4CAB" w:rsidRDefault="008403A2" w:rsidP="00C50488">
      <w:pPr>
        <w:spacing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</w:pPr>
      <w:r w:rsidRPr="006E4CAB"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>Methods</w:t>
      </w:r>
    </w:p>
    <w:p w14:paraId="0DE21820" w14:textId="77777777" w:rsidR="008403A2" w:rsidRPr="00C50488" w:rsidRDefault="008403A2" w:rsidP="00C5048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14:ligatures w14:val="none"/>
        </w:rPr>
        <w:t>Positional Scanning Synthetic Combinatorial Peptide Library (PS-CPL) Assays</w:t>
      </w:r>
    </w:p>
    <w:p w14:paraId="35C44184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Systematic positional scanning synthetic combinatorial peptide libraries (PS-CPLs) were constructed based on the wild-type 9-mer core antigen of </w:t>
      </w:r>
      <w:proofErr w:type="spellStart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Survivin</w:t>
      </w:r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SVN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56-64</m:t>
            </m:r>
          </m:sub>
        </m:sSub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sequence: QCFFCFKEL) restricted to 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HLA-A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*02:01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. The PS-CPL comprised 180 sub-libraries covering all 20 natural amino acids systematically fixed across each of the 9 peptide positions, with the remaining 8 positions containing an equimolar mixture of natural amino acids.</w:t>
      </w:r>
    </w:p>
    <w:p w14:paraId="45124024" w14:textId="55BB830A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Primary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CD8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+</m:t>
            </m:r>
          </m:sup>
        </m:sSup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CD4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+</m:t>
            </m:r>
          </m:sup>
        </m:sSup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 cells isolated from peripheral blood mononuclear cells (PBMCs) of three independent healthy donors were stimulated with the PS-CPL sub-libraries. T-cell activation was quantified by flow cytometric measurement of surface 4-1BB (CD137) upregulation and intracellular IFN-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γ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expression. Functional activity ratios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i,a</m:t>
            </m:r>
          </m:sub>
        </m:sSub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) for each amino acid substitution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a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at position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i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were calculated relative to the wild-type residue baseline:</w:t>
      </w:r>
    </w:p>
    <w:p w14:paraId="68338117" w14:textId="77777777" w:rsidR="008403A2" w:rsidRPr="00C50488" w:rsidRDefault="00000000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i,a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i,a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i,</m:t>
                  </m:r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wt</m:t>
                  </m:r>
                </m:sub>
              </m:sSub>
            </m:den>
          </m:f>
        </m:oMath>
      </m:oMathPara>
    </w:p>
    <w:p w14:paraId="5CCD27C6" w14:textId="77777777" w:rsidR="00180FEF" w:rsidRPr="00C50488" w:rsidRDefault="00180FEF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EC2B4C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i,a</m:t>
            </m:r>
          </m:sub>
        </m:sSub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represents the percentage of activated T cells (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4-1BB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+</m:t>
            </m:r>
          </m:sup>
        </m:sSup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or 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IFN-</m:t>
        </m:r>
        <m:sSup>
          <m:sSup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γ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+</m:t>
            </m:r>
          </m:sup>
        </m:sSup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) induced by amino acid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a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at position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i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and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i,</m:t>
            </m:r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wt</m:t>
            </m:r>
          </m:sub>
        </m:sSub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represents the corresponding activation induced by the wild-type residue.</w:t>
      </w:r>
    </w:p>
    <w:p w14:paraId="7145B136" w14:textId="77777777" w:rsidR="008403A2" w:rsidRPr="00C50488" w:rsidRDefault="008403A2" w:rsidP="00C5048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14:ligatures w14:val="none"/>
        </w:rPr>
        <w:t>In Silico Combinatorial Variant Generation and Presentation Prediction</w:t>
      </w:r>
    </w:p>
    <w:p w14:paraId="19AC6413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Candidate mimotope sequences were generated across three combinatorial search spaces:</w:t>
      </w:r>
    </w:p>
    <w:p w14:paraId="0587DF55" w14:textId="77777777" w:rsidR="008403A2" w:rsidRPr="00C50488" w:rsidRDefault="008403A2" w:rsidP="00C50488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Single-Amino Acid (1-AA) Substitutions: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All 171 possible single point mutations across the 9-mer core.</w:t>
      </w:r>
    </w:p>
    <w:p w14:paraId="488F7CB8" w14:textId="77777777" w:rsidR="008403A2" w:rsidRPr="00C50488" w:rsidRDefault="008403A2" w:rsidP="00C50488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Double-Amino Acid (2-AA) Combinations: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All 12,996 possible dual point mutation combinations.</w:t>
      </w:r>
    </w:p>
    <w:p w14:paraId="43B08B91" w14:textId="77777777" w:rsidR="008403A2" w:rsidRPr="00C50488" w:rsidRDefault="008403A2" w:rsidP="00C50488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CPL-Guided Multi-AA Variants: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Higher-order combinatoric variants (3 to 7 positions fixed based on top-performing PS-CPL activity ratios, with remaining positions retaining wild-type residues).</w:t>
      </w:r>
    </w:p>
    <w:p w14:paraId="66E702A7" w14:textId="4DD2C298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HLA-A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*02:01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presentation metrics were predicted for all generated sequences using NetMHCpan-4.</w:t>
      </w:r>
      <w:r w:rsidR="00907EDE">
        <w:rPr>
          <w:rFonts w:ascii="Arial" w:eastAsia="Times New Roman" w:hAnsi="Arial" w:cs="Arial"/>
          <w:kern w:val="0"/>
          <w:sz w:val="20"/>
          <w:szCs w:val="20"/>
          <w14:ligatures w14:val="none"/>
        </w:rPr>
        <w:t>2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. Calculated metrics included Elution Rank Percentile (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%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Rank_EL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), Predicted Binding Affinity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d</m:t>
            </m:r>
          </m:sub>
        </m:sSub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 </w:t>
      </w:r>
      <w:proofErr w:type="spellStart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nM</w:t>
      </w:r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BA_nM</m:t>
        </m:r>
      </m:oMath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), Binding Affinity Rank (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%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Rank_BA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), and predicted complex half-life stability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1/2</m:t>
            </m:r>
          </m:sub>
        </m:sSub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 hours).</w:t>
      </w:r>
    </w:p>
    <w:p w14:paraId="475DBDB9" w14:textId="77777777" w:rsidR="008403A2" w:rsidRPr="00C50488" w:rsidRDefault="008403A2" w:rsidP="00C5048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14:ligatures w14:val="none"/>
        </w:rPr>
        <w:t>Multi-Donor Cytokine Composite Scoring and Tiered Classification</w:t>
      </w:r>
    </w:p>
    <w:p w14:paraId="7244421D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To aggregate functional T-cell activation across diverse donors and readouts, a two-stage composite scoring framework was implemented.</w:t>
      </w:r>
    </w:p>
    <w:p w14:paraId="3FA93F8E" w14:textId="77777777" w:rsidR="008403A2" w:rsidRPr="00C50488" w:rsidRDefault="008403A2" w:rsidP="00C50488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Stage A: Donor-Specific Activity Score</w:t>
      </w:r>
    </w:p>
    <w:p w14:paraId="5AF80F83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For each individual donor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d∈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1,2,3</m:t>
            </m:r>
          </m:e>
        </m:d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cell subset (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CD4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+</m:t>
            </m:r>
          </m:sup>
        </m:sSup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or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CD8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+</m:t>
            </m:r>
          </m:sup>
        </m:sSup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), the donor composite score was calculated as the geometric mean of the 4-1BB and IFN-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γ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activity ratios:</w:t>
      </w:r>
    </w:p>
    <w:p w14:paraId="79780820" w14:textId="77777777" w:rsidR="008403A2" w:rsidRPr="00CC3742" w:rsidRDefault="00000000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Comp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d,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cell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d,</m:t>
                  </m:r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cell</m:t>
                  </m:r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,</m:t>
                  </m:r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4-1BB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d,</m:t>
                  </m:r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cell</m:t>
                  </m:r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,</m:t>
                  </m:r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IFN</m:t>
                  </m:r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γ</m:t>
                  </m:r>
                </m:sub>
              </m:sSub>
            </m:e>
          </m:rad>
        </m:oMath>
      </m:oMathPara>
    </w:p>
    <w:p w14:paraId="48C48278" w14:textId="77777777" w:rsidR="00CC3742" w:rsidRPr="00C50488" w:rsidRDefault="00CC3742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DCB747" w14:textId="77777777" w:rsidR="008403A2" w:rsidRPr="00C50488" w:rsidRDefault="008403A2" w:rsidP="00C50488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Stage B: Global Cross-Donor Composite Score</w:t>
      </w:r>
    </w:p>
    <w:p w14:paraId="0A6FD7D1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The global activity composite score (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CD8_Composite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CD4_Composite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 was computed as the arithmetic mean of valid (non-</w:t>
      </w:r>
      <w:proofErr w:type="spellStart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NaN</w:t>
      </w:r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 donor-specific composite scores across all tested donors:</w:t>
      </w:r>
    </w:p>
    <w:p w14:paraId="7FB7292A" w14:textId="77777777" w:rsidR="008403A2" w:rsidRPr="00CC3742" w:rsidRDefault="00000000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Global_Composite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cell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valid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d=1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valid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Comp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d,</m:t>
                  </m:r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cell</m:t>
                  </m:r>
                </m:sub>
              </m:sSub>
            </m:e>
          </m:nary>
        </m:oMath>
      </m:oMathPara>
    </w:p>
    <w:p w14:paraId="3DE23F1C" w14:textId="77777777" w:rsidR="00CC3742" w:rsidRPr="00C50488" w:rsidRDefault="00CC3742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0B331F6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Variants were stratified into discrete selection tiers based on presentation and activation thresholds:</w:t>
      </w:r>
    </w:p>
    <w:p w14:paraId="65906E07" w14:textId="77777777" w:rsidR="008403A2" w:rsidRPr="00C50488" w:rsidRDefault="008403A2" w:rsidP="00C50488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Tier 1 (High Binder &amp; Dual Active):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%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Rank_EL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&lt;2.0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CD8_Composite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&gt;1.0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CD4_Composite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&gt;1.0</m:t>
        </m:r>
      </m:oMath>
    </w:p>
    <w:p w14:paraId="70D9DD34" w14:textId="77777777" w:rsidR="008403A2" w:rsidRPr="00C50488" w:rsidRDefault="008403A2" w:rsidP="00C50488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Tier 2 (High Binder &amp; CD8 Active):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%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Rank_EL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&lt;2.0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CD8_Composite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&gt;1.0</m:t>
        </m:r>
      </m:oMath>
    </w:p>
    <w:p w14:paraId="71080BD9" w14:textId="77777777" w:rsidR="008403A2" w:rsidRPr="00C50488" w:rsidRDefault="008403A2" w:rsidP="00C50488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Tier 3 (Borderline Binder &amp; CD8 Active):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%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Rank_EL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&lt;3.0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CD8_Composite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&gt;1.0</m:t>
        </m:r>
      </m:oMath>
    </w:p>
    <w:p w14:paraId="5CBB7CB1" w14:textId="77777777" w:rsidR="008403A2" w:rsidRPr="00C50488" w:rsidRDefault="008403A2" w:rsidP="00C50488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Tier 4 (</w:t>
      </w:r>
      <w:proofErr w:type="gramStart"/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Non-Binder</w:t>
      </w:r>
      <w:proofErr w:type="gramEnd"/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&amp; CD8 Active):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%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Rank_EL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≥3.0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(or unpredicted), 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CD8_Composite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&gt;1.0</m:t>
        </m:r>
      </m:oMath>
    </w:p>
    <w:p w14:paraId="1FAB6BB1" w14:textId="77777777" w:rsidR="008403A2" w:rsidRPr="00C50488" w:rsidRDefault="008403A2" w:rsidP="00C50488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Tier 5 (Missing Data):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Insufficient donor activation data.</w:t>
      </w:r>
    </w:p>
    <w:p w14:paraId="0E4F3387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To expand 2-AA candidate selection for structural profiling, a relaxed structural gateway filter (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%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Rank_EL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&lt;15.0%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BA_nM</m:t>
        </m:r>
        <w:proofErr w:type="spellEnd"/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&lt;10,000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 nM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 was applied alongside dynamic positional pair capping to preserve spatial diversity across substitution pairs.</w:t>
      </w:r>
    </w:p>
    <w:p w14:paraId="0F788DCC" w14:textId="77777777" w:rsidR="008403A2" w:rsidRPr="00C50488" w:rsidRDefault="008403A2" w:rsidP="00C5048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14:ligatures w14:val="none"/>
        </w:rPr>
        <w:t xml:space="preserve">AlphaFold 3 Structural Modeling of Heterotrimeric </w:t>
      </w:r>
      <w:proofErr w:type="spellStart"/>
      <w:r w:rsidRPr="00C50488">
        <w:rPr>
          <w:rFonts w:ascii="Arial" w:eastAsia="Times New Roman" w:hAnsi="Arial" w:cs="Arial"/>
          <w:b/>
          <w:bCs/>
          <w:kern w:val="0"/>
          <w14:ligatures w14:val="none"/>
        </w:rPr>
        <w:t>pMHC</w:t>
      </w:r>
      <w:proofErr w:type="spellEnd"/>
      <w:r w:rsidRPr="00C50488">
        <w:rPr>
          <w:rFonts w:ascii="Arial" w:eastAsia="Times New Roman" w:hAnsi="Arial" w:cs="Arial"/>
          <w:b/>
          <w:bCs/>
          <w:kern w:val="0"/>
          <w14:ligatures w14:val="none"/>
        </w:rPr>
        <w:t>-I Complexes</w:t>
      </w:r>
    </w:p>
    <w:p w14:paraId="1EE49717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3D atomic coordinates for candidate mimotope–</w:t>
      </w:r>
      <w:proofErr w:type="spellStart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pMHC</w:t>
      </w:r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-I complexes were predicted using AlphaFold 3 (v1.0.0). Each modeling payload was structured as a 3-entity heterotrimer:</w:t>
      </w:r>
    </w:p>
    <w:p w14:paraId="428507E0" w14:textId="77777777" w:rsidR="008403A2" w:rsidRPr="00C50488" w:rsidRDefault="008403A2" w:rsidP="00C50488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Chain A (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HLA-A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*02:01</m:t>
        </m:r>
      </m:oMath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Heavy Chain):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Mature 275-amino acid extracellular domain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3</m:t>
            </m:r>
          </m:sub>
        </m:sSub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domains, residues 25–299; signal peptide 1–24 and C-terminal transmembrane/cytoplasmic tail 300–365 excised):</w:t>
      </w:r>
    </w:p>
    <w:p w14:paraId="048BF0E6" w14:textId="77777777" w:rsidR="008403A2" w:rsidRPr="00C50488" w:rsidRDefault="008403A2" w:rsidP="00C50488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GSHSMRYFFTSVSRPGRGEPRFIAVGYVDDTQFVRFDSDAASQRMEPRAPWIEQEGPEYWDGETRKVKAHSQTHRVDLGTLRGYYNQSEAGSHTVQRMYGCDVGSDWRFLRGYHQYAYDGKDYIALKEDLRSWTAADMAAQTTKHKWEAAHVAEQLRAYLEGTCVEWLRRYLENGKETLQRTDAPKTHMTHHAVSDHEATLRCWALSFYPAEITLTWQRDGEDQTQDTELVETRPAGDGTFQKWAAVVVPSGQEQRYTCHVQHEGLPKPLTLRWE</w:t>
      </w:r>
    </w:p>
    <w:p w14:paraId="07A556D7" w14:textId="77777777" w:rsidR="008403A2" w:rsidRPr="00C50488" w:rsidRDefault="008403A2" w:rsidP="00C50488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Chain B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2</m:t>
            </m:r>
          </m:sub>
        </m:sSub>
      </m:oMath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-Microglobulin):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Mature 99-amino acid light chain (</w:t>
      </w:r>
      <w:proofErr w:type="spellStart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UniProt</w:t>
      </w:r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P61769 residues 21–119; N-terminal 1–20 signal peptide excised):</w:t>
      </w:r>
    </w:p>
    <w:p w14:paraId="6D011AD1" w14:textId="77777777" w:rsidR="008403A2" w:rsidRPr="00C50488" w:rsidRDefault="008403A2" w:rsidP="00C50488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IQRTPKIQVYSRHPAENGKSNFLNCYVSGFHPSDIEVDLLKNGERIEKVEHSDLSFSKDWSFYLLYYTEFTPTEKDEYACRVNHVTLSQPKIVKWDRDM</w:t>
      </w:r>
    </w:p>
    <w:p w14:paraId="5E6EC447" w14:textId="77777777" w:rsidR="008403A2" w:rsidRPr="00C50488" w:rsidRDefault="008403A2" w:rsidP="00C50488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Chain C (Peptide):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Candidate 9-mer mimotope variant.</w:t>
      </w:r>
    </w:p>
    <w:p w14:paraId="5A6CB77A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Batch execution was optimized for High-Performance Computing (HPC) GPU clusters by grouping candidates into multi-job JSON arrays containing 8 heterotrimer payloads per execution block. Predictions were generated using model seed 1.</w:t>
      </w:r>
    </w:p>
    <w:p w14:paraId="17C79B70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Interface confidence was evaluated using three metrics:</w:t>
      </w:r>
    </w:p>
    <w:p w14:paraId="5FA2E28A" w14:textId="77777777" w:rsidR="008403A2" w:rsidRPr="00C50488" w:rsidRDefault="008403A2" w:rsidP="00C50488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ipTM</w:t>
      </w:r>
      <w:proofErr w:type="spellEnd"/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(interface Predicted Template Modeling score):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Quantifying global inter-chain topological confidence.</w:t>
      </w:r>
    </w:p>
    <w:p w14:paraId="06D9B395" w14:textId="77777777" w:rsidR="008403A2" w:rsidRPr="00C50488" w:rsidRDefault="008403A2" w:rsidP="00C50488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pLDDT</w:t>
      </w:r>
      <w:proofErr w:type="spellEnd"/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(predicted Local Distance Difference Test):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Assessing local backbone residue accuracy within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15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 AA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radii.</w:t>
      </w:r>
    </w:p>
    <w:p w14:paraId="68CB20BC" w14:textId="77777777" w:rsidR="008403A2" w:rsidRPr="00C50488" w:rsidRDefault="008403A2" w:rsidP="00C50488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PAE Inter-Chain Sub-Matrix Aggregator Score:</w:t>
      </w: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Calculated by isolating the inter-chain Predicted Aligned Error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PAE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i,j</m:t>
            </m:r>
          </m:sub>
        </m:sSub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) matrix between peptide residues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i∈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Chain C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MHC cleft residues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j∈</m:t>
        </m:r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Chain A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, applying learned spatial weights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i,j</m:t>
            </m:r>
          </m:sub>
        </m:sSub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 and baseline noise subtraction:</w:t>
      </w:r>
    </w:p>
    <w:p w14:paraId="53B3C2AF" w14:textId="77777777" w:rsidR="008403A2" w:rsidRPr="00C50488" w:rsidRDefault="008403A2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kern w:val="0"/>
              <w:sz w:val="20"/>
              <w:szCs w:val="20"/>
              <w14:ligatures w14:val="none"/>
            </w:rPr>
            <m:t>PAE Aggregator Score</m:t>
          </m:r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i∈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Peptide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j∈</m:t>
                  </m:r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MHC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:sz w:val="20"/>
                          <w:szCs w:val="2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 w:val="20"/>
                          <w:szCs w:val="2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 w:val="20"/>
                          <w:szCs w:val="20"/>
                          <w14:ligatures w14:val="none"/>
                        </w:rPr>
                        <m:t>i,j</m:t>
                      </m:r>
                    </m:sub>
                  </m:sSub>
                </m:e>
              </m:nary>
            </m:e>
          </m:nary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PAE</m:t>
              </m:r>
              <m:d>
                <m:d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i,j</m:t>
                  </m:r>
                </m:e>
              </m:d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Baseline Noise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i,j</m:t>
                  </m:r>
                </m:sub>
              </m:sSub>
            </m:e>
          </m:d>
        </m:oMath>
      </m:oMathPara>
    </w:p>
    <w:p w14:paraId="7B1ACC6E" w14:textId="77777777" w:rsidR="00180FEF" w:rsidRPr="00C50488" w:rsidRDefault="00180FEF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408D1D" w14:textId="77777777" w:rsidR="008403A2" w:rsidRPr="00C50488" w:rsidRDefault="008403A2" w:rsidP="00C5048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14:ligatures w14:val="none"/>
        </w:rPr>
        <w:t>Rosetta Thermodynamic Energy Minimization and Interface Analysis</w:t>
      </w:r>
    </w:p>
    <w:p w14:paraId="71726DB2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Full-atom structural relaxation and thermodynamic scoring were performed using the Rosetta software suite (v2020.08 / release-340) with the ref2015 energy function.</w:t>
      </w:r>
    </w:p>
    <w:p w14:paraId="4DE72F8A" w14:textId="0BAF269A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AlphaFold 3 output coordinates were subjected to backbone-constrained energy minimization using the </w:t>
      </w:r>
      <w:proofErr w:type="spellStart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FastRelax</w:t>
      </w:r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protocol. Intermolecular binding free energy (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Δ</m:t>
        </m:r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G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 </w:t>
      </w:r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kcal/mol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) was calculated using the </w:t>
      </w:r>
      <w:proofErr w:type="spellStart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InterfaceAnalyzer</w:t>
      </w:r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module, performing explicit sidechain repacking and gradient-based minimization across the peptide</w:t>
      </w:r>
      <w:r w:rsidR="00CA16C4">
        <w:rPr>
          <w:rFonts w:ascii="Arial" w:eastAsia="Times New Roman" w:hAnsi="Arial" w:cs="Arial"/>
          <w:kern w:val="0"/>
          <w:sz w:val="20"/>
          <w:szCs w:val="20"/>
          <w14:ligatures w14:val="none"/>
        </w:rPr>
        <w:t>-</w:t>
      </w:r>
      <w:proofErr w:type="spellStart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pMHC</w:t>
      </w:r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interface:</w:t>
      </w:r>
    </w:p>
    <w:p w14:paraId="39178DEF" w14:textId="77777777" w:rsidR="008403A2" w:rsidRPr="00CC3742" w:rsidRDefault="008403A2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G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bind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E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complex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-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pMHC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m:t>peptide</m:t>
                  </m:r>
                </m:sub>
              </m:sSub>
            </m:e>
          </m:d>
        </m:oMath>
      </m:oMathPara>
    </w:p>
    <w:p w14:paraId="14EE5D24" w14:textId="77777777" w:rsidR="00CC3742" w:rsidRPr="00C50488" w:rsidRDefault="00CC3742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ACEAA1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Calculated interface features included buried surface area (</w:t>
      </w:r>
      <w:proofErr w:type="spellStart"/>
      <m:oMath>
        <m:r>
          <m:rPr>
            <m:nor/>
          </m:rPr>
          <w:rPr>
            <w:rFonts w:ascii="Arial" w:eastAsia="Times New Roman" w:hAnsi="Arial" w:cs="Arial"/>
            <w:kern w:val="0"/>
            <w:sz w:val="20"/>
            <w:szCs w:val="20"/>
            <w14:ligatures w14:val="none"/>
          </w:rPr>
          <m:t>dG_cross</m:t>
        </m:r>
      </m:oMath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), shape complementarity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c</m:t>
            </m:r>
          </m:sub>
        </m:sSub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), and total hydrogen bonding/electrostatic contact energy.</w:t>
      </w:r>
    </w:p>
    <w:p w14:paraId="1FB21668" w14:textId="77777777" w:rsidR="008403A2" w:rsidRPr="00C50488" w:rsidRDefault="008403A2" w:rsidP="00C50488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0488">
        <w:rPr>
          <w:rFonts w:ascii="Arial" w:eastAsia="Times New Roman" w:hAnsi="Arial" w:cs="Arial"/>
          <w:b/>
          <w:bCs/>
          <w:kern w:val="0"/>
          <w14:ligatures w14:val="none"/>
        </w:rPr>
        <w:t>Integrated 4-Pillar Composite Lead Prioritization</w:t>
      </w:r>
    </w:p>
    <w:p w14:paraId="0E12472F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Final mimotope lead prioritization integrated orthogonal predictive dimensions by converting raw metrics to normalized </w:t>
      </w:r>
      <m:oMath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Z</m:t>
        </m:r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-scores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Arial"/>
            <w:kern w:val="0"/>
            <w:sz w:val="20"/>
            <w:szCs w:val="2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X-</m:t>
            </m:r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X</m:t>
                </m:r>
              </m:sub>
            </m:sSub>
          </m:den>
        </m:f>
      </m:oMath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):</w:t>
      </w:r>
    </w:p>
    <w:p w14:paraId="6E41A0C6" w14:textId="77777777" w:rsidR="008403A2" w:rsidRPr="00C50488" w:rsidRDefault="008403A2" w:rsidP="00C50488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NetMHCpan</w:t>
      </w:r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Z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EL_Rank</m:t>
            </m:r>
          </m:sub>
        </m:sSub>
      </m:oMath>
    </w:p>
    <w:p w14:paraId="66C1CFCD" w14:textId="77777777" w:rsidR="008403A2" w:rsidRPr="00C50488" w:rsidRDefault="008403A2" w:rsidP="00C50488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AlphaFold 3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Z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AF3_PAE</m:t>
            </m:r>
          </m:sub>
        </m:sSub>
      </m:oMath>
    </w:p>
    <w:p w14:paraId="344DDFB0" w14:textId="77777777" w:rsidR="008403A2" w:rsidRPr="00C50488" w:rsidRDefault="008403A2" w:rsidP="00C50488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Rosetta binding free energy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Z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m:t>Rosetta_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Δ</m:t>
            </m:r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G</m:t>
            </m:r>
          </m:sub>
        </m:sSub>
      </m:oMath>
    </w:p>
    <w:p w14:paraId="2A8B3237" w14:textId="77777777" w:rsidR="008403A2" w:rsidRPr="00C50488" w:rsidRDefault="008403A2" w:rsidP="00C50488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NetMHCpan</w:t>
      </w:r>
      <w:proofErr w:type="spellEnd"/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complex half-life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14:ligatures w14:val="none"/>
              </w:rPr>
              <m:t>Z</m:t>
            </m:r>
          </m:e>
          <m:sub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:sz w:val="20"/>
                    <w:szCs w:val="20"/>
                    <w14:ligatures w14:val="none"/>
                  </w:rPr>
                  <m:t>1/2</m:t>
                </m:r>
              </m:sub>
            </m:sSub>
          </m:sub>
        </m:sSub>
      </m:oMath>
    </w:p>
    <w:p w14:paraId="39122233" w14:textId="77777777" w:rsidR="008403A2" w:rsidRPr="00C50488" w:rsidRDefault="008403A2" w:rsidP="00C5048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A master 4-pillar Composite Lead Score was computed for each candidate:</w:t>
      </w:r>
    </w:p>
    <w:p w14:paraId="07B6DD8A" w14:textId="77777777" w:rsidR="008403A2" w:rsidRPr="00C50488" w:rsidRDefault="008403A2" w:rsidP="00C5048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kern w:val="0"/>
              <w:sz w:val="20"/>
              <w:szCs w:val="20"/>
              <w14:ligatures w14:val="none"/>
            </w:rPr>
            <m:t>Composite Score</m:t>
          </m:r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=0.30⋅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Z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EL_Rank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+0.30⋅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Z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AF3_PAE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+0.25⋅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Z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sz w:val="20"/>
                  <w:szCs w:val="20"/>
                  <w14:ligatures w14:val="none"/>
                </w:rPr>
                <m:t>Rosetta_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14:ligatures w14:val="none"/>
            </w:rPr>
            <m:t>-0.15⋅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14:ligatures w14:val="none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14:ligatures w14:val="none"/>
                    </w:rPr>
                    <m:t>1/2</m:t>
                  </m:r>
                </m:sub>
              </m:sSub>
            </m:sub>
          </m:sSub>
        </m:oMath>
      </m:oMathPara>
    </w:p>
    <w:p w14:paraId="60D0B71D" w14:textId="0519B9AA" w:rsidR="00CB5540" w:rsidRPr="009C5530" w:rsidRDefault="008403A2" w:rsidP="009C5530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50488">
        <w:rPr>
          <w:rFonts w:ascii="Arial" w:eastAsia="Times New Roman" w:hAnsi="Arial" w:cs="Arial"/>
          <w:kern w:val="0"/>
          <w:sz w:val="20"/>
          <w:szCs w:val="20"/>
          <w14:ligatures w14:val="none"/>
        </w:rPr>
        <w:t>Candidates were ranked by Composite Score to select top positive mimotope leads alongside unbiased binder and structural negative control panels for downstream functional validation.</w:t>
      </w:r>
      <w:r w:rsidR="006661BB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</w:p>
    <w:sectPr w:rsidR="00CB5540" w:rsidRPr="009C5530" w:rsidSect="0043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45F8E"/>
    <w:multiLevelType w:val="multilevel"/>
    <w:tmpl w:val="4E40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81937"/>
    <w:multiLevelType w:val="multilevel"/>
    <w:tmpl w:val="313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74C73"/>
    <w:multiLevelType w:val="multilevel"/>
    <w:tmpl w:val="42D2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86371"/>
    <w:multiLevelType w:val="multilevel"/>
    <w:tmpl w:val="5F8A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93416"/>
    <w:multiLevelType w:val="multilevel"/>
    <w:tmpl w:val="E758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471278">
    <w:abstractNumId w:val="4"/>
  </w:num>
  <w:num w:numId="2" w16cid:durableId="966936089">
    <w:abstractNumId w:val="1"/>
  </w:num>
  <w:num w:numId="3" w16cid:durableId="2101635344">
    <w:abstractNumId w:val="2"/>
  </w:num>
  <w:num w:numId="4" w16cid:durableId="1288051420">
    <w:abstractNumId w:val="0"/>
  </w:num>
  <w:num w:numId="5" w16cid:durableId="104841008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A2"/>
    <w:rsid w:val="00060C9B"/>
    <w:rsid w:val="000A6E60"/>
    <w:rsid w:val="000E3A5C"/>
    <w:rsid w:val="00180FEF"/>
    <w:rsid w:val="001D04DB"/>
    <w:rsid w:val="001E3945"/>
    <w:rsid w:val="00341CD4"/>
    <w:rsid w:val="0043072F"/>
    <w:rsid w:val="00454685"/>
    <w:rsid w:val="005F4DF4"/>
    <w:rsid w:val="00602A79"/>
    <w:rsid w:val="006661BB"/>
    <w:rsid w:val="006E4CAB"/>
    <w:rsid w:val="00762B60"/>
    <w:rsid w:val="007B5996"/>
    <w:rsid w:val="008403A2"/>
    <w:rsid w:val="00907EDE"/>
    <w:rsid w:val="00963A07"/>
    <w:rsid w:val="009C5530"/>
    <w:rsid w:val="00A425C1"/>
    <w:rsid w:val="00AE4620"/>
    <w:rsid w:val="00B153E4"/>
    <w:rsid w:val="00B5031E"/>
    <w:rsid w:val="00B92C36"/>
    <w:rsid w:val="00BA48E8"/>
    <w:rsid w:val="00BF2DF0"/>
    <w:rsid w:val="00C50488"/>
    <w:rsid w:val="00CA16C4"/>
    <w:rsid w:val="00CB5540"/>
    <w:rsid w:val="00CC3742"/>
    <w:rsid w:val="00E50F3F"/>
    <w:rsid w:val="00FC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359A9"/>
  <w15:chartTrackingRefBased/>
  <w15:docId w15:val="{261B63F6-57E6-A443-ACD3-E755F5A1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3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03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3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Peris Cuesta,Arnau</dc:creator>
  <cp:keywords/>
  <dc:description/>
  <cp:lastModifiedBy>Peris Cuesta,Arnau</cp:lastModifiedBy>
  <cp:revision>9</cp:revision>
  <dcterms:created xsi:type="dcterms:W3CDTF">2026-08-11T19:37:00Z</dcterms:created>
  <dcterms:modified xsi:type="dcterms:W3CDTF">2026-09-10T13:49:00Z</dcterms:modified>
</cp:coreProperties>
</file>