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89E57F" w14:textId="77777777" w:rsidR="00585770" w:rsidRPr="00A73CBF" w:rsidRDefault="00585770" w:rsidP="00585770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  <w:r w:rsidRPr="00A73CBF">
        <w:rPr>
          <w:rFonts w:ascii="Arial" w:hAnsi="Arial" w:cs="Arial"/>
          <w:b/>
          <w:bCs/>
          <w:sz w:val="20"/>
          <w:szCs w:val="20"/>
        </w:rPr>
        <w:t>Fig. 1 | Integrated experimental and computational platform for structure-guided mimotope discovery and optimization.</w:t>
      </w:r>
    </w:p>
    <w:p w14:paraId="6C361585" w14:textId="77777777" w:rsidR="00585770" w:rsidRPr="00A73CBF" w:rsidRDefault="00585770" w:rsidP="00585770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  <w:r w:rsidRPr="00A73CBF">
        <w:rPr>
          <w:rFonts w:ascii="Arial" w:hAnsi="Arial" w:cs="Arial"/>
          <w:b/>
          <w:bCs/>
          <w:sz w:val="20"/>
          <w:szCs w:val="20"/>
        </w:rPr>
        <w:t>a</w:t>
      </w:r>
      <w:r w:rsidRPr="00A73CBF">
        <w:rPr>
          <w:rFonts w:ascii="Arial" w:hAnsi="Arial" w:cs="Arial"/>
          <w:sz w:val="20"/>
          <w:szCs w:val="20"/>
        </w:rPr>
        <w:t xml:space="preserve">, </w:t>
      </w:r>
      <w:r w:rsidRPr="00A73CBF">
        <w:rPr>
          <w:rFonts w:ascii="Arial" w:hAnsi="Arial" w:cs="Arial"/>
          <w:b/>
          <w:bCs/>
          <w:sz w:val="20"/>
          <w:szCs w:val="20"/>
        </w:rPr>
        <w:t>Phase I: Combinatorial Library Design (PS-CPL).</w:t>
      </w:r>
      <w:r w:rsidRPr="00A73CBF">
        <w:rPr>
          <w:rFonts w:ascii="Arial" w:hAnsi="Arial" w:cs="Arial"/>
          <w:sz w:val="20"/>
          <w:szCs w:val="20"/>
        </w:rPr>
        <w:t xml:space="preserve"> Systematic construction of a Positional Scanning Synthetic Combinatorial Peptide Library (PS-CPL) across a 9-mer peptide backbone. For each of the nine positional slots (</w:t>
      </w:r>
      <m:oMath>
        <m:r>
          <w:rPr>
            <w:rFonts w:ascii="Cambria Math" w:hAnsi="Cambria Math" w:cs="Arial"/>
            <w:sz w:val="20"/>
            <w:szCs w:val="20"/>
          </w:rPr>
          <m:t>P1-P9</m:t>
        </m:r>
      </m:oMath>
      <w:r w:rsidRPr="00A73CBF">
        <w:rPr>
          <w:rFonts w:ascii="Arial" w:hAnsi="Arial" w:cs="Arial"/>
          <w:sz w:val="20"/>
          <w:szCs w:val="20"/>
        </w:rPr>
        <w:t>), a single amino acid position is sequentially fixed to each of the 20 canonical amino acids while the remaining eight positions (</w:t>
      </w:r>
      <m:oMath>
        <m:r>
          <w:rPr>
            <w:rFonts w:ascii="Cambria Math" w:hAnsi="Cambria Math" w:cs="Arial"/>
            <w:sz w:val="20"/>
            <w:szCs w:val="20"/>
          </w:rPr>
          <m:t>X</m:t>
        </m:r>
      </m:oMath>
      <w:r w:rsidRPr="00A73CBF">
        <w:rPr>
          <w:rFonts w:ascii="Arial" w:hAnsi="Arial" w:cs="Arial"/>
          <w:sz w:val="20"/>
          <w:szCs w:val="20"/>
        </w:rPr>
        <w:t xml:space="preserve">) are randomized, yielding 180 distinct peptide sub-libraries (ranging from </w:t>
      </w:r>
      <w:r w:rsidRPr="00A73CBF">
        <w:rPr>
          <w:rStyle w:val="HTMLCode"/>
          <w:rFonts w:ascii="Arial" w:hAnsi="Arial" w:cs="Arial"/>
        </w:rPr>
        <w:t>AXXXXXXXX</w:t>
      </w:r>
      <w:r w:rsidRPr="00A73CBF">
        <w:rPr>
          <w:rFonts w:ascii="Arial" w:hAnsi="Arial" w:cs="Arial"/>
          <w:sz w:val="20"/>
          <w:szCs w:val="20"/>
        </w:rPr>
        <w:t xml:space="preserve"> to </w:t>
      </w:r>
      <w:r w:rsidRPr="00A73CBF">
        <w:rPr>
          <w:rStyle w:val="HTMLCode"/>
          <w:rFonts w:ascii="Arial" w:hAnsi="Arial" w:cs="Arial"/>
        </w:rPr>
        <w:t>XXXXXXXXY</w:t>
      </w:r>
      <w:r w:rsidRPr="00A73CBF">
        <w:rPr>
          <w:rFonts w:ascii="Arial" w:hAnsi="Arial" w:cs="Arial"/>
          <w:sz w:val="20"/>
          <w:szCs w:val="20"/>
        </w:rPr>
        <w:t>).</w:t>
      </w:r>
    </w:p>
    <w:p w14:paraId="71E48E18" w14:textId="77777777" w:rsidR="00585770" w:rsidRPr="00A73CBF" w:rsidRDefault="00585770" w:rsidP="00585770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  <w:r w:rsidRPr="00A73CBF">
        <w:rPr>
          <w:rFonts w:ascii="Arial" w:hAnsi="Arial" w:cs="Arial"/>
          <w:b/>
          <w:bCs/>
          <w:sz w:val="20"/>
          <w:szCs w:val="20"/>
        </w:rPr>
        <w:t>b</w:t>
      </w:r>
      <w:r w:rsidRPr="00A73CBF">
        <w:rPr>
          <w:rFonts w:ascii="Arial" w:hAnsi="Arial" w:cs="Arial"/>
          <w:sz w:val="20"/>
          <w:szCs w:val="20"/>
        </w:rPr>
        <w:t xml:space="preserve">, </w:t>
      </w:r>
      <w:r w:rsidRPr="00A73CBF">
        <w:rPr>
          <w:rFonts w:ascii="Arial" w:hAnsi="Arial" w:cs="Arial"/>
          <w:b/>
          <w:bCs/>
          <w:sz w:val="20"/>
          <w:szCs w:val="20"/>
        </w:rPr>
        <w:t>Phase II: Cellular Functional Assay.</w:t>
      </w:r>
      <w:r w:rsidRPr="00A73CBF">
        <w:rPr>
          <w:rFonts w:ascii="Arial" w:hAnsi="Arial" w:cs="Arial"/>
          <w:sz w:val="20"/>
          <w:szCs w:val="20"/>
        </w:rPr>
        <w:t xml:space="preserve"> Antigen-presenting cells (APCs) pulsed with individual PS-CPL sub-libraries present candidate peptides via MHC Class I/II molecules to naive or antigen-specific T cells expressing target-specific T-cell receptors (TCR) and CD4/CD8 co-receptors. Functional T-cell activation is quantified by measuring interferon-gamma (IFN$\gamma$) secretion and 4-1BB (CD137) surface upregulation, establishing a positional activity profile heatmap (%) across all nine residue positions (</w:t>
      </w:r>
      <m:oMath>
        <m:r>
          <w:rPr>
            <w:rFonts w:ascii="Cambria Math" w:hAnsi="Cambria Math" w:cs="Arial"/>
            <w:sz w:val="20"/>
            <w:szCs w:val="20"/>
          </w:rPr>
          <m:t>P1-P9</m:t>
        </m:r>
      </m:oMath>
      <w:r w:rsidRPr="00A73CBF">
        <w:rPr>
          <w:rFonts w:ascii="Arial" w:hAnsi="Arial" w:cs="Arial"/>
          <w:sz w:val="20"/>
          <w:szCs w:val="20"/>
        </w:rPr>
        <w:t>) relative to wild-type stimulation.</w:t>
      </w:r>
    </w:p>
    <w:p w14:paraId="682C1571" w14:textId="77777777" w:rsidR="00585770" w:rsidRPr="00A73CBF" w:rsidRDefault="00585770" w:rsidP="00585770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  <w:r w:rsidRPr="00A73CBF">
        <w:rPr>
          <w:rFonts w:ascii="Arial" w:hAnsi="Arial" w:cs="Arial"/>
          <w:b/>
          <w:bCs/>
          <w:sz w:val="20"/>
          <w:szCs w:val="20"/>
        </w:rPr>
        <w:t>c</w:t>
      </w:r>
      <w:r w:rsidRPr="00A73CBF">
        <w:rPr>
          <w:rFonts w:ascii="Arial" w:hAnsi="Arial" w:cs="Arial"/>
          <w:sz w:val="20"/>
          <w:szCs w:val="20"/>
        </w:rPr>
        <w:t xml:space="preserve">, </w:t>
      </w:r>
      <w:r w:rsidRPr="00A73CBF">
        <w:rPr>
          <w:rFonts w:ascii="Arial" w:hAnsi="Arial" w:cs="Arial"/>
          <w:b/>
          <w:bCs/>
          <w:sz w:val="20"/>
          <w:szCs w:val="20"/>
        </w:rPr>
        <w:t>Phase III: In Silico Variant Prioritization.</w:t>
      </w:r>
      <w:r w:rsidRPr="00A73CBF">
        <w:rPr>
          <w:rFonts w:ascii="Arial" w:hAnsi="Arial" w:cs="Arial"/>
          <w:sz w:val="20"/>
          <w:szCs w:val="20"/>
        </w:rPr>
        <w:t xml:space="preserve"> Multi-donor sequence optimization starting from the wild-type survivin (</w:t>
      </w:r>
      <m:oMath>
        <m:r>
          <w:rPr>
            <w:rFonts w:ascii="Cambria Math" w:hAnsi="Cambria Math" w:cs="Arial"/>
            <w:sz w:val="20"/>
            <w:szCs w:val="20"/>
          </w:rPr>
          <m:t>S</m:t>
        </m:r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wt</m:t>
            </m:r>
          </m:sub>
        </m:sSub>
      </m:oMath>
      <w:r w:rsidRPr="00A73CBF">
        <w:rPr>
          <w:rFonts w:ascii="Arial" w:hAnsi="Arial" w:cs="Arial"/>
          <w:sz w:val="20"/>
          <w:szCs w:val="20"/>
        </w:rPr>
        <w:t>) 9-mer core epitope (</w:t>
      </w:r>
      <w:r w:rsidRPr="00A73CBF">
        <w:rPr>
          <w:rStyle w:val="HTMLCode"/>
          <w:rFonts w:ascii="Arial" w:hAnsi="Arial" w:cs="Arial"/>
        </w:rPr>
        <w:t>QCFFCFKEL</w:t>
      </w:r>
      <w:r w:rsidRPr="00A73CBF">
        <w:rPr>
          <w:rFonts w:ascii="Arial" w:hAnsi="Arial" w:cs="Arial"/>
          <w:sz w:val="20"/>
          <w:szCs w:val="20"/>
        </w:rPr>
        <w:t>). Systematic single- and double-amino acid (1-AA, 2-AA) mutational candidates are generated alongside multi-substituted variants (3–7 AAs) derived from PS-CPL guided activity profiles. Positional cytokine activation ratios relative to wild-type from primary screens (Donor 1) are integrated with empirical validation profiles (Donors 2 and 3) to fix high-performing residues while retaining wild-type positions elsewhere. All candidate sequences are filtered using NetMHCpan to predict MHC Class I binding affinity and percentile elution rank (%EL_Rank).</w:t>
      </w:r>
    </w:p>
    <w:p w14:paraId="23A12275" w14:textId="1456DBDC" w:rsidR="00585770" w:rsidRPr="00A73CBF" w:rsidRDefault="00585770" w:rsidP="00585770">
      <w:pPr>
        <w:pStyle w:val="NormalWeb"/>
        <w:spacing w:before="0" w:beforeAutospacing="0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A73CBF">
        <w:rPr>
          <w:rFonts w:ascii="Arial" w:hAnsi="Arial" w:cs="Arial"/>
          <w:b/>
          <w:bCs/>
          <w:sz w:val="20"/>
          <w:szCs w:val="20"/>
        </w:rPr>
        <w:t>d</w:t>
      </w:r>
      <w:r w:rsidRPr="00A73CBF">
        <w:rPr>
          <w:rFonts w:ascii="Arial" w:hAnsi="Arial" w:cs="Arial"/>
          <w:sz w:val="20"/>
          <w:szCs w:val="20"/>
        </w:rPr>
        <w:t xml:space="preserve">, </w:t>
      </w:r>
      <w:r w:rsidRPr="00A73CBF">
        <w:rPr>
          <w:rFonts w:ascii="Arial" w:hAnsi="Arial" w:cs="Arial"/>
          <w:b/>
          <w:bCs/>
          <w:sz w:val="20"/>
          <w:szCs w:val="20"/>
        </w:rPr>
        <w:t>Phase IV: 3D Structural Modelling and Dynamic Stability.</w:t>
      </w:r>
      <w:r w:rsidRPr="00A73CBF">
        <w:rPr>
          <w:rFonts w:ascii="Arial" w:hAnsi="Arial" w:cs="Arial"/>
          <w:sz w:val="20"/>
          <w:szCs w:val="20"/>
        </w:rPr>
        <w:t xml:space="preserve"> High-priority candidate peptides from Phase III modeled in complex with HLA-A*02:01 using AlphaFold 3 (AF3). Structural interface quality is evaluated using predicted aligned error (PAE Aggregator), interface predicted TM-score (ipTM), and local confidence (pLDDT). Top-scoring peptide–HLA (pHLA) complexes undergo thermodynamic binding free energy calculations (</w:t>
      </w:r>
      <m:oMath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>Δ</m:t>
        </m:r>
        <m:r>
          <w:rPr>
            <w:rFonts w:ascii="Cambria Math" w:hAnsi="Cambria Math" w:cs="Arial"/>
            <w:sz w:val="20"/>
            <w:szCs w:val="20"/>
          </w:rPr>
          <m:t>G</m:t>
        </m:r>
      </m:oMath>
      <w:r w:rsidRPr="00A73CBF">
        <w:rPr>
          <w:rFonts w:ascii="Arial" w:hAnsi="Arial" w:cs="Arial"/>
          <w:sz w:val="20"/>
          <w:szCs w:val="20"/>
        </w:rPr>
        <w:t>) using atomistic Rosetta protocols. Candidate leads undergo explicit-solvent molecular dynamics (MD) simulations in GROMACS to select final mimotope candidates characterized by high structural stability and low root-mean-square fluctuation (RMSF).</w:t>
      </w:r>
    </w:p>
    <w:p w14:paraId="5E741285" w14:textId="77777777" w:rsidR="00A73CBF" w:rsidRPr="00A73CBF" w:rsidRDefault="00A73CBF" w:rsidP="00A73CBF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  <w:r w:rsidRPr="00A73CBF">
        <w:rPr>
          <w:rFonts w:ascii="Arial" w:hAnsi="Arial" w:cs="Arial"/>
          <w:b/>
          <w:bCs/>
          <w:sz w:val="20"/>
          <w:szCs w:val="20"/>
        </w:rPr>
        <w:t xml:space="preserve">Fig. 2 | </w:t>
      </w:r>
      <w:r w:rsidRPr="00A73CBF">
        <w:rPr>
          <w:rFonts w:ascii="Arial" w:hAnsi="Arial" w:cs="Arial"/>
          <w:b/>
          <w:bCs/>
          <w:i/>
          <w:iCs/>
          <w:sz w:val="20"/>
          <w:szCs w:val="20"/>
        </w:rPr>
        <w:t>In silico</w:t>
      </w:r>
      <w:r w:rsidRPr="00A73CBF">
        <w:rPr>
          <w:rFonts w:ascii="Arial" w:hAnsi="Arial" w:cs="Arial"/>
          <w:b/>
          <w:bCs/>
          <w:sz w:val="20"/>
          <w:szCs w:val="20"/>
        </w:rPr>
        <w:t xml:space="preserve"> prioritization and multi-dimensional profiling of candidate mimotope cohorts.</w:t>
      </w:r>
    </w:p>
    <w:p w14:paraId="25F76291" w14:textId="77777777" w:rsidR="00A73CBF" w:rsidRPr="00A73CBF" w:rsidRDefault="00A73CBF" w:rsidP="00A73CBF">
      <w:pPr>
        <w:pStyle w:val="NormalWeb"/>
        <w:spacing w:before="0" w:beforeAutospacing="0"/>
        <w:rPr>
          <w:rFonts w:ascii="Arial" w:hAnsi="Arial" w:cs="Arial"/>
          <w:sz w:val="20"/>
          <w:szCs w:val="20"/>
        </w:rPr>
      </w:pPr>
      <w:r w:rsidRPr="00A73CBF">
        <w:rPr>
          <w:rFonts w:ascii="Arial" w:hAnsi="Arial" w:cs="Arial"/>
          <w:b/>
          <w:bCs/>
          <w:sz w:val="20"/>
          <w:szCs w:val="20"/>
        </w:rPr>
        <w:t>a–c</w:t>
      </w:r>
      <w:r w:rsidRPr="00A73CBF">
        <w:rPr>
          <w:rFonts w:ascii="Arial" w:hAnsi="Arial" w:cs="Arial"/>
          <w:sz w:val="20"/>
          <w:szCs w:val="20"/>
        </w:rPr>
        <w:t>, Distribution of predicted HLA-A*02:01 elution rank (% EL Rank) versus binding affinity (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0"/>
                <w:szCs w:val="20"/>
              </w:rPr>
              <m:t>IC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50</m:t>
            </m:r>
          </m:sub>
        </m:sSub>
      </m:oMath>
      <w:r w:rsidRPr="00A73CBF">
        <w:rPr>
          <w:rFonts w:ascii="Arial" w:hAnsi="Arial" w:cs="Arial"/>
          <w:sz w:val="20"/>
          <w:szCs w:val="20"/>
        </w:rPr>
        <w:t>, nM; log scale) across three mimotope design strategies: single-amino-acid substitutions (</w:t>
      </w:r>
      <w:r w:rsidRPr="00A73CBF">
        <w:rPr>
          <w:rFonts w:ascii="Arial" w:hAnsi="Arial" w:cs="Arial"/>
          <w:b/>
          <w:bCs/>
          <w:sz w:val="20"/>
          <w:szCs w:val="20"/>
        </w:rPr>
        <w:t>a</w:t>
      </w:r>
      <w:r w:rsidRPr="00A73CBF">
        <w:rPr>
          <w:rFonts w:ascii="Arial" w:hAnsi="Arial" w:cs="Arial"/>
          <w:sz w:val="20"/>
          <w:szCs w:val="20"/>
        </w:rPr>
        <w:t>, 1-AA), dual-amino-acid substitutions (</w:t>
      </w:r>
      <w:r w:rsidRPr="00A73CBF">
        <w:rPr>
          <w:rFonts w:ascii="Arial" w:hAnsi="Arial" w:cs="Arial"/>
          <w:b/>
          <w:bCs/>
          <w:sz w:val="20"/>
          <w:szCs w:val="20"/>
        </w:rPr>
        <w:t>b</w:t>
      </w:r>
      <w:r w:rsidRPr="00A73CBF">
        <w:rPr>
          <w:rFonts w:ascii="Arial" w:hAnsi="Arial" w:cs="Arial"/>
          <w:sz w:val="20"/>
          <w:szCs w:val="20"/>
        </w:rPr>
        <w:t>, 2-AA), and positional scanning combinatorial peptide library variants (</w:t>
      </w:r>
      <w:r w:rsidRPr="00A73CBF">
        <w:rPr>
          <w:rFonts w:ascii="Arial" w:hAnsi="Arial" w:cs="Arial"/>
          <w:b/>
          <w:bCs/>
          <w:sz w:val="20"/>
          <w:szCs w:val="20"/>
        </w:rPr>
        <w:t>c</w:t>
      </w:r>
      <w:r w:rsidRPr="00A73CBF">
        <w:rPr>
          <w:rFonts w:ascii="Arial" w:hAnsi="Arial" w:cs="Arial"/>
          <w:sz w:val="20"/>
          <w:szCs w:val="20"/>
        </w:rPr>
        <w:t>, PS-CPL). Unselected background variants are rendered in faint grey (</w:t>
      </w:r>
      <m:oMath>
        <m:r>
          <w:rPr>
            <w:rFonts w:ascii="Cambria Math" w:hAnsi="Cambria Math" w:cs="Arial"/>
            <w:sz w:val="20"/>
            <w:szCs w:val="20"/>
          </w:rPr>
          <m:t>n≈</m:t>
        </m:r>
        <m:sSup>
          <m:sSupPr>
            <m:ctrlPr>
              <w:rPr>
                <w:rFonts w:ascii="Cambria Math" w:hAnsi="Cambria Math" w:cs="Arial"/>
                <w:sz w:val="20"/>
                <w:szCs w:val="20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 w:cs="Arial"/>
                <w:sz w:val="20"/>
                <w:szCs w:val="20"/>
              </w:rPr>
              <m:t>4</m:t>
            </m:r>
          </m:sup>
        </m:sSup>
        <m:r>
          <m:rPr>
            <m:nor/>
          </m:rPr>
          <w:rPr>
            <w:rFonts w:ascii="Arial" w:hAnsi="Arial" w:cs="Arial"/>
            <w:sz w:val="20"/>
            <w:szCs w:val="20"/>
          </w:rPr>
          <m:t>--</m:t>
        </m:r>
        <m:sSup>
          <m:sSupPr>
            <m:ctrlPr>
              <w:rPr>
                <w:rFonts w:ascii="Cambria Math" w:hAnsi="Cambria Math" w:cs="Arial"/>
                <w:sz w:val="20"/>
                <w:szCs w:val="20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 w:cs="Arial"/>
                <w:sz w:val="20"/>
                <w:szCs w:val="20"/>
              </w:rPr>
              <m:t>5</m:t>
            </m:r>
          </m:sup>
        </m:sSup>
      </m:oMath>
      <w:r w:rsidRPr="00A73CBF">
        <w:rPr>
          <w:rFonts w:ascii="Arial" w:hAnsi="Arial" w:cs="Arial"/>
          <w:sz w:val="20"/>
          <w:szCs w:val="20"/>
        </w:rPr>
        <w:t xml:space="preserve"> per panel). Prioritized candidates selected for down-stream experimental validation (</w:t>
      </w:r>
      <m:oMath>
        <m:r>
          <w:rPr>
            <w:rFonts w:ascii="Cambria Math" w:hAnsi="Cambria Math" w:cs="Arial"/>
            <w:sz w:val="20"/>
            <w:szCs w:val="20"/>
          </w:rPr>
          <m:t>n=50</m:t>
        </m:r>
      </m:oMath>
      <w:r w:rsidRPr="00A73CBF">
        <w:rPr>
          <w:rFonts w:ascii="Arial" w:hAnsi="Arial" w:cs="Arial"/>
          <w:sz w:val="20"/>
          <w:szCs w:val="20"/>
        </w:rPr>
        <w:t xml:space="preserve"> per arm) are highlighted in blue (</w:t>
      </w:r>
      <w:r w:rsidRPr="00A73CBF">
        <w:rPr>
          <w:rFonts w:ascii="Arial" w:hAnsi="Arial" w:cs="Arial"/>
          <w:b/>
          <w:bCs/>
          <w:sz w:val="20"/>
          <w:szCs w:val="20"/>
        </w:rPr>
        <w:t>a</w:t>
      </w:r>
      <w:r w:rsidRPr="00A73CBF">
        <w:rPr>
          <w:rFonts w:ascii="Arial" w:hAnsi="Arial" w:cs="Arial"/>
          <w:sz w:val="20"/>
          <w:szCs w:val="20"/>
        </w:rPr>
        <w:t>, 1-AA), orange (</w:t>
      </w:r>
      <w:r w:rsidRPr="00A73CBF">
        <w:rPr>
          <w:rFonts w:ascii="Arial" w:hAnsi="Arial" w:cs="Arial"/>
          <w:b/>
          <w:bCs/>
          <w:sz w:val="20"/>
          <w:szCs w:val="20"/>
        </w:rPr>
        <w:t>b</w:t>
      </w:r>
      <w:r w:rsidRPr="00A73CBF">
        <w:rPr>
          <w:rFonts w:ascii="Arial" w:hAnsi="Arial" w:cs="Arial"/>
          <w:sz w:val="20"/>
          <w:szCs w:val="20"/>
        </w:rPr>
        <w:t>, 2-AA), and purple (</w:t>
      </w:r>
      <w:r w:rsidRPr="00A73CBF">
        <w:rPr>
          <w:rFonts w:ascii="Arial" w:hAnsi="Arial" w:cs="Arial"/>
          <w:b/>
          <w:bCs/>
          <w:sz w:val="20"/>
          <w:szCs w:val="20"/>
        </w:rPr>
        <w:t>c</w:t>
      </w:r>
      <w:r w:rsidRPr="00A73CBF">
        <w:rPr>
          <w:rFonts w:ascii="Arial" w:hAnsi="Arial" w:cs="Arial"/>
          <w:sz w:val="20"/>
          <w:szCs w:val="20"/>
        </w:rPr>
        <w:t xml:space="preserve">, PS-CPL). In panel </w:t>
      </w:r>
      <w:r w:rsidRPr="00A73CBF">
        <w:rPr>
          <w:rFonts w:ascii="Arial" w:hAnsi="Arial" w:cs="Arial"/>
          <w:b/>
          <w:bCs/>
          <w:sz w:val="20"/>
          <w:szCs w:val="20"/>
        </w:rPr>
        <w:t>a</w:t>
      </w:r>
      <w:r w:rsidRPr="00A73CBF">
        <w:rPr>
          <w:rFonts w:ascii="Arial" w:hAnsi="Arial" w:cs="Arial"/>
          <w:sz w:val="20"/>
          <w:szCs w:val="20"/>
        </w:rPr>
        <w:t>, the benchmark SurVaxM mimotope sequence (</w:t>
      </w:r>
      <w:r w:rsidRPr="00A73CBF">
        <w:rPr>
          <w:rStyle w:val="HTMLCode"/>
          <w:rFonts w:ascii="Arial" w:hAnsi="Arial" w:cs="Arial"/>
        </w:rPr>
        <w:t>QMFFCFKEL</w:t>
      </w:r>
      <w:r w:rsidRPr="00A73CBF">
        <w:rPr>
          <w:rFonts w:ascii="Arial" w:hAnsi="Arial" w:cs="Arial"/>
          <w:sz w:val="20"/>
          <w:szCs w:val="20"/>
        </w:rPr>
        <w:t xml:space="preserve">) is annotated. Vertical reference lines denote predicted strong binder (% EL Rank </w:t>
      </w:r>
      <m:oMath>
        <m:r>
          <w:rPr>
            <w:rFonts w:ascii="Cambria Math" w:hAnsi="Cambria Math" w:cs="Arial"/>
            <w:sz w:val="20"/>
            <w:szCs w:val="20"/>
          </w:rPr>
          <m:t>≤0.5%</m:t>
        </m:r>
      </m:oMath>
      <w:r w:rsidRPr="00A73CBF">
        <w:rPr>
          <w:rFonts w:ascii="Arial" w:hAnsi="Arial" w:cs="Arial"/>
          <w:sz w:val="20"/>
          <w:szCs w:val="20"/>
        </w:rPr>
        <w:t xml:space="preserve">, green dotted line) and weak binder (% EL Rank </w:t>
      </w:r>
      <m:oMath>
        <m:r>
          <w:rPr>
            <w:rFonts w:ascii="Cambria Math" w:hAnsi="Cambria Math" w:cs="Arial"/>
            <w:sz w:val="20"/>
            <w:szCs w:val="20"/>
          </w:rPr>
          <m:t>≤2.0%</m:t>
        </m:r>
      </m:oMath>
      <w:r w:rsidRPr="00A73CBF">
        <w:rPr>
          <w:rFonts w:ascii="Arial" w:hAnsi="Arial" w:cs="Arial"/>
          <w:sz w:val="20"/>
          <w:szCs w:val="20"/>
        </w:rPr>
        <w:t>, red dashed line) thresholds. The horizontal dash-dotted line indicates the standard predicted affinity threshold (</w:t>
      </w:r>
      <m:oMath>
        <m:r>
          <w:rPr>
            <w:rFonts w:ascii="Cambria Math" w:hAnsi="Cambria Math" w:cs="Arial"/>
            <w:sz w:val="20"/>
            <w:szCs w:val="20"/>
          </w:rPr>
          <m:t>500</m:t>
        </m:r>
        <m:r>
          <m:rPr>
            <m:nor/>
          </m:rPr>
          <w:rPr>
            <w:rFonts w:ascii="Arial" w:hAnsi="Arial" w:cs="Arial"/>
            <w:sz w:val="20"/>
            <w:szCs w:val="20"/>
          </w:rPr>
          <m:t> nM</m:t>
        </m:r>
      </m:oMath>
      <w:r w:rsidRPr="00A73CBF">
        <w:rPr>
          <w:rFonts w:ascii="Arial" w:hAnsi="Arial" w:cs="Arial"/>
          <w:sz w:val="20"/>
          <w:szCs w:val="20"/>
        </w:rPr>
        <w:t xml:space="preserve">). </w:t>
      </w:r>
      <w:r w:rsidRPr="00A73CBF">
        <w:rPr>
          <w:rFonts w:ascii="Arial" w:hAnsi="Arial" w:cs="Arial"/>
          <w:b/>
          <w:bCs/>
          <w:sz w:val="20"/>
          <w:szCs w:val="20"/>
        </w:rPr>
        <w:t>d</w:t>
      </w:r>
      <w:r w:rsidRPr="00A73CBF">
        <w:rPr>
          <w:rFonts w:ascii="Arial" w:hAnsi="Arial" w:cs="Arial"/>
          <w:sz w:val="20"/>
          <w:szCs w:val="20"/>
        </w:rPr>
        <w:t>, 3D landscape of the combined selected cohort (</w:t>
      </w:r>
      <m:oMath>
        <m:r>
          <w:rPr>
            <w:rFonts w:ascii="Cambria Math" w:hAnsi="Cambria Math" w:cs="Arial"/>
            <w:sz w:val="20"/>
            <w:szCs w:val="20"/>
          </w:rPr>
          <m:t>n=150</m:t>
        </m:r>
      </m:oMath>
      <w:r w:rsidRPr="00A73CBF">
        <w:rPr>
          <w:rFonts w:ascii="Arial" w:hAnsi="Arial" w:cs="Arial"/>
          <w:sz w:val="20"/>
          <w:szCs w:val="20"/>
        </w:rPr>
        <w:t>) projected across predicted % EL Rank (</w:t>
      </w:r>
      <m:oMath>
        <m:r>
          <w:rPr>
            <w:rFonts w:ascii="Cambria Math" w:hAnsi="Cambria Math" w:cs="Arial"/>
            <w:sz w:val="20"/>
            <w:szCs w:val="20"/>
          </w:rPr>
          <m:t>x</m:t>
        </m:r>
      </m:oMath>
      <w:r w:rsidRPr="00A73CBF">
        <w:rPr>
          <w:rFonts w:ascii="Arial" w:hAnsi="Arial" w:cs="Arial"/>
          <w:sz w:val="20"/>
          <w:szCs w:val="20"/>
        </w:rPr>
        <w:t xml:space="preserve">-axis),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0"/>
                <w:szCs w:val="20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10</m:t>
            </m:r>
          </m:sub>
        </m:sSub>
      </m:oMath>
      <w:r w:rsidRPr="00A73CBF">
        <w:rPr>
          <w:rFonts w:ascii="Arial" w:hAnsi="Arial" w:cs="Arial"/>
          <w:sz w:val="20"/>
          <w:szCs w:val="20"/>
        </w:rPr>
        <w:t xml:space="preserve"> binding affinity (</w:t>
      </w:r>
      <m:oMath>
        <m:r>
          <w:rPr>
            <w:rFonts w:ascii="Cambria Math" w:hAnsi="Cambria Math" w:cs="Arial"/>
            <w:sz w:val="20"/>
            <w:szCs w:val="20"/>
          </w:rPr>
          <m:t>y</m:t>
        </m:r>
      </m:oMath>
      <w:r w:rsidRPr="00A73CBF">
        <w:rPr>
          <w:rFonts w:ascii="Arial" w:hAnsi="Arial" w:cs="Arial"/>
          <w:sz w:val="20"/>
          <w:szCs w:val="20"/>
        </w:rPr>
        <w:t xml:space="preserve">-axis), and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0"/>
                <w:szCs w:val="20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10</m:t>
            </m:r>
          </m:sub>
        </m:sSub>
      </m:oMath>
      <w:r w:rsidRPr="00A73CBF">
        <w:rPr>
          <w:rFonts w:ascii="Arial" w:hAnsi="Arial" w:cs="Arial"/>
          <w:sz w:val="20"/>
          <w:szCs w:val="20"/>
        </w:rPr>
        <w:t>-transformed CD8+ T-cell composite functional activity score (</w:t>
      </w:r>
      <m:oMath>
        <m:func>
          <m:funcPr>
            <m:ctrlPr>
              <w:rPr>
                <w:rFonts w:ascii="Cambria Math" w:hAnsi="Cambria Math" w:cs="Arial"/>
                <w:sz w:val="20"/>
                <w:szCs w:val="20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 w:val="20"/>
                    <w:szCs w:val="20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Arial"/>
                    <w:sz w:val="20"/>
                    <w:szCs w:val="20"/>
                  </w:rPr>
                </m:ctrlPr>
              </m:dPr>
              <m:e>
                <m:r>
                  <m:rPr>
                    <m:nor/>
                  </m:rPr>
                  <w:rPr>
                    <w:rFonts w:ascii="Arial" w:hAnsi="Arial" w:cs="Arial"/>
                    <w:sz w:val="20"/>
                    <w:szCs w:val="20"/>
                  </w:rPr>
                  <m:t>CD8 Comp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+1</m:t>
                </m:r>
              </m:e>
            </m:d>
          </m:e>
        </m:func>
      </m:oMath>
      <w:r w:rsidRPr="00A73CBF">
        <w:rPr>
          <w:rFonts w:ascii="Arial" w:hAnsi="Arial" w:cs="Arial"/>
          <w:sz w:val="20"/>
          <w:szCs w:val="20"/>
        </w:rPr>
        <w:t xml:space="preserve">, </w:t>
      </w:r>
      <m:oMath>
        <m:r>
          <w:rPr>
            <w:rFonts w:ascii="Cambria Math" w:hAnsi="Cambria Math" w:cs="Arial"/>
            <w:sz w:val="20"/>
            <w:szCs w:val="20"/>
          </w:rPr>
          <m:t>z</m:t>
        </m:r>
      </m:oMath>
      <w:r w:rsidRPr="00A73CBF">
        <w:rPr>
          <w:rFonts w:ascii="Arial" w:hAnsi="Arial" w:cs="Arial"/>
          <w:sz w:val="20"/>
          <w:szCs w:val="20"/>
        </w:rPr>
        <w:t>-axis), illustrating distinct structural and functional clustering across candidate selection arms.</w:t>
      </w:r>
    </w:p>
    <w:p w14:paraId="40EF1FF3" w14:textId="77777777" w:rsidR="00585770" w:rsidRPr="00A73CBF" w:rsidRDefault="00585770">
      <w:pPr>
        <w:rPr>
          <w:rStyle w:val="Strong"/>
          <w:rFonts w:ascii="Arial" w:hAnsi="Arial" w:cs="Arial"/>
          <w:color w:val="0F172A"/>
          <w:sz w:val="20"/>
          <w:szCs w:val="20"/>
        </w:rPr>
      </w:pPr>
    </w:p>
    <w:p w14:paraId="7B6289FB" w14:textId="1AB3FCC5" w:rsidR="00CB5540" w:rsidRPr="00A73CBF" w:rsidRDefault="00EF7264">
      <w:pPr>
        <w:rPr>
          <w:rFonts w:ascii="Arial" w:hAnsi="Arial" w:cs="Arial"/>
          <w:sz w:val="20"/>
          <w:szCs w:val="20"/>
        </w:rPr>
      </w:pPr>
      <w:r w:rsidRPr="00A73CBF">
        <w:rPr>
          <w:rStyle w:val="Strong"/>
          <w:rFonts w:ascii="Arial" w:hAnsi="Arial" w:cs="Arial"/>
          <w:color w:val="0F172A"/>
          <w:sz w:val="20"/>
          <w:szCs w:val="20"/>
        </w:rPr>
        <w:t xml:space="preserve">Fig. </w:t>
      </w:r>
      <w:r w:rsidR="008F5866">
        <w:rPr>
          <w:rStyle w:val="Strong"/>
          <w:rFonts w:ascii="Arial" w:hAnsi="Arial" w:cs="Arial"/>
          <w:color w:val="0F172A"/>
          <w:sz w:val="20"/>
          <w:szCs w:val="20"/>
        </w:rPr>
        <w:t>3</w:t>
      </w:r>
      <w:r w:rsidRPr="00A73CBF">
        <w:rPr>
          <w:rStyle w:val="Strong"/>
          <w:rFonts w:ascii="Arial" w:hAnsi="Arial" w:cs="Arial"/>
          <w:color w:val="0F172A"/>
          <w:sz w:val="20"/>
          <w:szCs w:val="20"/>
        </w:rPr>
        <w:t xml:space="preserve"> | Computational selection and structural modeling of high-affinity HLA-A*02:01 candidate peptides.</w:t>
      </w:r>
      <w:r w:rsidRPr="00A73CBF">
        <w:rPr>
          <w:rFonts w:ascii="Arial" w:hAnsi="Arial" w:cs="Arial"/>
          <w:color w:val="334155"/>
          <w:sz w:val="20"/>
          <w:szCs w:val="20"/>
          <w:shd w:val="clear" w:color="auto" w:fill="F8FAFC"/>
        </w:rPr>
        <w:t> </w:t>
      </w:r>
      <w:r w:rsidRPr="00A73CBF">
        <w:rPr>
          <w:rStyle w:val="Strong"/>
          <w:rFonts w:ascii="Arial" w:hAnsi="Arial" w:cs="Arial"/>
          <w:color w:val="1E293B"/>
          <w:sz w:val="20"/>
          <w:szCs w:val="20"/>
        </w:rPr>
        <w:t>a</w:t>
      </w:r>
      <w:r w:rsidRPr="00A73CBF">
        <w:rPr>
          <w:rFonts w:ascii="Arial" w:hAnsi="Arial" w:cs="Arial"/>
          <w:color w:val="334155"/>
          <w:sz w:val="20"/>
          <w:szCs w:val="20"/>
          <w:shd w:val="clear" w:color="auto" w:fill="F8FAFC"/>
        </w:rPr>
        <w:t xml:space="preserve">, Filtering of predicted candidate peptides based on presentation and binding metrics. Scatter plot displays HLA-A*02:01 predicted elution rank (%Rank EL; x-axis) versus predicted binding affinity (nM; y-axis). Dashed line denotes the elution rank threshold (2.0%) and dotted line indicates the binding </w:t>
      </w:r>
      <w:r w:rsidRPr="00A73CBF">
        <w:rPr>
          <w:rFonts w:ascii="Arial" w:hAnsi="Arial" w:cs="Arial"/>
          <w:color w:val="334155"/>
          <w:sz w:val="20"/>
          <w:szCs w:val="20"/>
          <w:shd w:val="clear" w:color="auto" w:fill="F8FAFC"/>
        </w:rPr>
        <w:lastRenderedPageBreak/>
        <w:t>affinity threshold (100 nM). Selected positive candidates passing both filtering gates are shown as green circles; excluded or filtered-out peptides are depicted as orange crosses. </w:t>
      </w:r>
      <w:r w:rsidRPr="00A73CBF">
        <w:rPr>
          <w:rStyle w:val="Strong"/>
          <w:rFonts w:ascii="Arial" w:hAnsi="Arial" w:cs="Arial"/>
          <w:color w:val="1E293B"/>
          <w:sz w:val="20"/>
          <w:szCs w:val="20"/>
        </w:rPr>
        <w:t>b</w:t>
      </w:r>
      <w:r w:rsidRPr="00A73CBF">
        <w:rPr>
          <w:rFonts w:ascii="Arial" w:hAnsi="Arial" w:cs="Arial"/>
          <w:color w:val="334155"/>
          <w:sz w:val="20"/>
          <w:szCs w:val="20"/>
          <w:shd w:val="clear" w:color="auto" w:fill="F8FAFC"/>
        </w:rPr>
        <w:t>, Ranking of candidate peptides by composite score (lower values represent superior predicted binding and structural stability). Dark blue bars highlight the top five candidates (led by FQFFCFFEL); light blue bars represent remaining candidates evaluated. </w:t>
      </w:r>
      <w:r w:rsidRPr="00A73CBF">
        <w:rPr>
          <w:rStyle w:val="Strong"/>
          <w:rFonts w:ascii="Arial" w:hAnsi="Arial" w:cs="Arial"/>
          <w:color w:val="1E293B"/>
          <w:sz w:val="20"/>
          <w:szCs w:val="20"/>
        </w:rPr>
        <w:t>c</w:t>
      </w:r>
      <w:r w:rsidRPr="00A73CBF">
        <w:rPr>
          <w:rFonts w:ascii="Arial" w:hAnsi="Arial" w:cs="Arial"/>
          <w:color w:val="334155"/>
          <w:sz w:val="20"/>
          <w:szCs w:val="20"/>
          <w:shd w:val="clear" w:color="auto" w:fill="F8FAFC"/>
        </w:rPr>
        <w:t>, Structural model of the top candidate peptide FQFFCFFEL (blue sticks) bound within the HLA-A*02:01 peptide-binding groove (light gray ribbon). Key framework residues mediating pocket interactions and hydrogen bonding are labeled and shown as gray sticks. </w:t>
      </w:r>
      <w:r w:rsidRPr="00A73CBF">
        <w:rPr>
          <w:rStyle w:val="Strong"/>
          <w:rFonts w:ascii="Arial" w:hAnsi="Arial" w:cs="Arial"/>
          <w:color w:val="1E293B"/>
          <w:sz w:val="20"/>
          <w:szCs w:val="20"/>
        </w:rPr>
        <w:t>d</w:t>
      </w:r>
      <w:r w:rsidRPr="00A73CBF">
        <w:rPr>
          <w:rFonts w:ascii="Arial" w:hAnsi="Arial" w:cs="Arial"/>
          <w:color w:val="334155"/>
          <w:sz w:val="20"/>
          <w:szCs w:val="20"/>
          <w:shd w:val="clear" w:color="auto" w:fill="F8FAFC"/>
        </w:rPr>
        <w:t>, Structural superposition of FQFFCFFEL (blue) and candidate QCFFCFKEL (light green) within the binding groove, illustrating conformational alignment across peptide positions P1 to P9. </w:t>
      </w:r>
      <w:r w:rsidRPr="00A73CBF">
        <w:rPr>
          <w:rStyle w:val="Strong"/>
          <w:rFonts w:ascii="Arial" w:hAnsi="Arial" w:cs="Arial"/>
          <w:color w:val="1E293B"/>
          <w:sz w:val="20"/>
          <w:szCs w:val="20"/>
        </w:rPr>
        <w:t>e</w:t>
      </w:r>
      <w:r w:rsidRPr="00A73CBF">
        <w:rPr>
          <w:rFonts w:ascii="Arial" w:hAnsi="Arial" w:cs="Arial"/>
          <w:color w:val="334155"/>
          <w:sz w:val="20"/>
          <w:szCs w:val="20"/>
          <w:shd w:val="clear" w:color="auto" w:fill="F8FAFC"/>
        </w:rPr>
        <w:t>, Axial view looking down the binding groove into the F-pocket, showing structural comparison between FQFFCFFEL (blue) and candidate QCFFCFKEH (dark red). Orientations of N-terminal (P1) and C-terminal (P9) anchor residues relative to pocket walls are indicated.</w:t>
      </w:r>
    </w:p>
    <w:sectPr w:rsidR="00CB5540" w:rsidRPr="00A73CBF" w:rsidSect="0043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64"/>
    <w:rsid w:val="000E3A5C"/>
    <w:rsid w:val="001D04DB"/>
    <w:rsid w:val="001E3945"/>
    <w:rsid w:val="00341CD4"/>
    <w:rsid w:val="0043072F"/>
    <w:rsid w:val="00585770"/>
    <w:rsid w:val="005F4DF4"/>
    <w:rsid w:val="00602A79"/>
    <w:rsid w:val="006C2650"/>
    <w:rsid w:val="00762B60"/>
    <w:rsid w:val="00875F5C"/>
    <w:rsid w:val="008F5866"/>
    <w:rsid w:val="00A425C1"/>
    <w:rsid w:val="00A73CBF"/>
    <w:rsid w:val="00AE4620"/>
    <w:rsid w:val="00B153E4"/>
    <w:rsid w:val="00B5031E"/>
    <w:rsid w:val="00B92C36"/>
    <w:rsid w:val="00BA48E8"/>
    <w:rsid w:val="00BF2DF0"/>
    <w:rsid w:val="00CB5540"/>
    <w:rsid w:val="00E50F3F"/>
    <w:rsid w:val="00EF7264"/>
    <w:rsid w:val="00F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BF315"/>
  <w15:chartTrackingRefBased/>
  <w15:docId w15:val="{2E002C57-FD04-7D46-91D4-BD49A1D5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7264"/>
    <w:rPr>
      <w:b/>
      <w:bCs/>
    </w:rPr>
  </w:style>
  <w:style w:type="paragraph" w:styleId="NormalWeb">
    <w:name w:val="Normal (Web)"/>
    <w:basedOn w:val="Normal"/>
    <w:uiPriority w:val="99"/>
    <w:unhideWhenUsed/>
    <w:rsid w:val="00585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57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Peris Cuesta,Arnau</dc:creator>
  <cp:keywords/>
  <dc:description/>
  <cp:lastModifiedBy>Peris Cuesta,Arnau</cp:lastModifiedBy>
  <cp:revision>4</cp:revision>
  <dcterms:created xsi:type="dcterms:W3CDTF">2026-08-13T16:39:00Z</dcterms:created>
  <dcterms:modified xsi:type="dcterms:W3CDTF">2026-09-17T15:35:00Z</dcterms:modified>
</cp:coreProperties>
</file>