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6CD88AC9"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A variety of approaches, including documentation and hands-on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084AC62B"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proactive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4D14AF65"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test to determine if there are issues that may arise.</w:t>
      </w:r>
    </w:p>
    <w:p w14:paraId="0A5F8A9E" w14:textId="77777777"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To determine whether the transition will be carried out appropriately for the workforce, the Transition Project Manager will work closely with the store manager and the business owner.</w:t>
      </w:r>
    </w:p>
    <w:p w14:paraId="041CDF6F" w14:textId="77777777"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In general, effective communication is generally essential for fostering teamwork and informing the client of any changes. The group will provide user-manual and conduct demonstrations to ensure smooth operation and showcase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3A024A38"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new information.</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77777777"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hasn't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77777777" w:rsidR="00BE2CD9" w:rsidRDefault="00BE2CD9" w:rsidP="00BE2CD9">
      <w:pPr>
        <w:jc w:val="both"/>
        <w:rPr>
          <w:rFonts w:ascii="Times New Roman" w:hAnsi="Times New Roman" w:cs="Times New Roman"/>
          <w:b/>
          <w:bCs/>
          <w:sz w:val="24"/>
          <w:szCs w:val="24"/>
        </w:rPr>
      </w:pPr>
    </w:p>
    <w:p w14:paraId="3D1227BD" w14:textId="525CB28B" w:rsidR="00BE2CD9" w:rsidRDefault="00096018" w:rsidP="00BE2CD9">
      <w:pPr>
        <w:jc w:val="both"/>
        <w:rPr>
          <w:rFonts w:ascii="Times New Roman" w:hAnsi="Times New Roman" w:cs="Times New Roman"/>
          <w:b/>
          <w:bCs/>
          <w:sz w:val="24"/>
          <w:szCs w:val="24"/>
        </w:rPr>
      </w:pPr>
      <w:r>
        <w:rPr>
          <w:rFonts w:ascii="Times New Roman" w:hAnsi="Times New Roman" w:cs="Times New Roman"/>
          <w:b/>
          <w:bCs/>
          <w:sz w:val="24"/>
          <w:szCs w:val="24"/>
        </w:rPr>
        <w:t>6.11.7. Property Transition</w:t>
      </w:r>
    </w:p>
    <w:p w14:paraId="61300C52" w14:textId="51706033" w:rsidR="00096018" w:rsidRDefault="00096018" w:rsidP="00BE2CD9">
      <w:pPr>
        <w:jc w:val="both"/>
        <w:rPr>
          <w:rFonts w:ascii="Times New Roman" w:hAnsi="Times New Roman" w:cs="Times New Roman"/>
          <w:b/>
          <w:bCs/>
          <w:sz w:val="24"/>
          <w:szCs w:val="24"/>
        </w:rPr>
      </w:pPr>
      <w:r>
        <w:rPr>
          <w:rFonts w:ascii="Times New Roman" w:hAnsi="Times New Roman" w:cs="Times New Roman"/>
          <w:b/>
          <w:bCs/>
          <w:sz w:val="24"/>
          <w:szCs w:val="24"/>
        </w:rPr>
        <w:tab/>
        <w:t>6.11.7.1</w:t>
      </w:r>
      <w:r w:rsidR="00764125">
        <w:rPr>
          <w:rFonts w:ascii="Times New Roman" w:hAnsi="Times New Roman" w:cs="Times New Roman"/>
          <w:b/>
          <w:bCs/>
          <w:sz w:val="24"/>
          <w:szCs w:val="24"/>
        </w:rPr>
        <w:t>.</w:t>
      </w:r>
      <w:r>
        <w:rPr>
          <w:rFonts w:ascii="Times New Roman" w:hAnsi="Times New Roman" w:cs="Times New Roman"/>
          <w:b/>
          <w:bCs/>
          <w:sz w:val="24"/>
          <w:szCs w:val="24"/>
        </w:rPr>
        <w:t xml:space="preserve"> Government Furnished Equipment</w:t>
      </w:r>
      <w:r w:rsidR="00764125">
        <w:rPr>
          <w:rFonts w:ascii="Times New Roman" w:hAnsi="Times New Roman" w:cs="Times New Roman"/>
          <w:b/>
          <w:bCs/>
          <w:sz w:val="24"/>
          <w:szCs w:val="24"/>
        </w:rPr>
        <w:t xml:space="preserve"> (GEF)</w:t>
      </w:r>
    </w:p>
    <w:p w14:paraId="4B6962B4" w14:textId="5624347D" w:rsidR="00764125"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t>6.11.7.2. Incumbent Owned Equipment</w:t>
      </w:r>
    </w:p>
    <w:p w14:paraId="50026C76" w14:textId="081B9643" w:rsidR="00764125" w:rsidRDefault="00764125" w:rsidP="00BE2CD9">
      <w:pPr>
        <w:jc w:val="both"/>
        <w:rPr>
          <w:rFonts w:ascii="Times New Roman" w:hAnsi="Times New Roman" w:cs="Times New Roman"/>
          <w:b/>
          <w:bCs/>
          <w:sz w:val="24"/>
          <w:szCs w:val="24"/>
        </w:rPr>
      </w:pPr>
      <w:r>
        <w:rPr>
          <w:rFonts w:ascii="Times New Roman" w:hAnsi="Times New Roman" w:cs="Times New Roman"/>
          <w:b/>
          <w:bCs/>
          <w:sz w:val="24"/>
          <w:szCs w:val="24"/>
        </w:rPr>
        <w:tab/>
      </w:r>
      <w:r w:rsidR="0025258A">
        <w:rPr>
          <w:rFonts w:ascii="Times New Roman" w:hAnsi="Times New Roman" w:cs="Times New Roman"/>
          <w:b/>
          <w:bCs/>
          <w:sz w:val="24"/>
          <w:szCs w:val="24"/>
        </w:rPr>
        <w:t>6.11.7.3. Intellectual Property</w:t>
      </w: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company, Villamin Wood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lastRenderedPageBreak/>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29708DE4"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proofErr w:type="spellStart"/>
      <w:r>
        <w:rPr>
          <w:rFonts w:ascii="Times New Roman" w:hAnsi="Times New Roman" w:cs="Times New Roman"/>
          <w:sz w:val="24"/>
          <w:szCs w:val="24"/>
        </w:rPr>
        <w:t>Viilamin</w:t>
      </w:r>
      <w:proofErr w:type="spellEnd"/>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5EE01" w16cex:dateUtc="2023-06-03T08:51:00Z"/>
  <w16cex:commentExtensible w16cex:durableId="2825E851" w16cex:dateUtc="2023-06-03T08:26:00Z"/>
  <w16cex:commentExtensible w16cex:durableId="2825EA55" w16cex:dateUtc="2023-06-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6398" w14:textId="77777777" w:rsidR="00DF7509" w:rsidRDefault="00DF7509" w:rsidP="00604A9F">
      <w:pPr>
        <w:spacing w:after="0" w:line="240" w:lineRule="auto"/>
      </w:pPr>
      <w:r>
        <w:separator/>
      </w:r>
    </w:p>
  </w:endnote>
  <w:endnote w:type="continuationSeparator" w:id="0">
    <w:p w14:paraId="6BD678B6" w14:textId="77777777" w:rsidR="00DF7509" w:rsidRDefault="00DF7509" w:rsidP="00604A9F">
      <w:pPr>
        <w:spacing w:after="0" w:line="240" w:lineRule="auto"/>
      </w:pPr>
      <w:r>
        <w:continuationSeparator/>
      </w:r>
    </w:p>
  </w:endnote>
  <w:endnote w:type="continuationNotice" w:id="1">
    <w:p w14:paraId="7A57A159" w14:textId="77777777" w:rsidR="00DF7509" w:rsidRDefault="00DF75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C5F07" w14:textId="77777777" w:rsidR="00DF7509" w:rsidRDefault="00DF7509" w:rsidP="00604A9F">
      <w:pPr>
        <w:spacing w:after="0" w:line="240" w:lineRule="auto"/>
      </w:pPr>
      <w:r>
        <w:separator/>
      </w:r>
    </w:p>
  </w:footnote>
  <w:footnote w:type="continuationSeparator" w:id="0">
    <w:p w14:paraId="5613C550" w14:textId="77777777" w:rsidR="00DF7509" w:rsidRDefault="00DF7509" w:rsidP="00604A9F">
      <w:pPr>
        <w:spacing w:after="0" w:line="240" w:lineRule="auto"/>
      </w:pPr>
      <w:r>
        <w:continuationSeparator/>
      </w:r>
    </w:p>
  </w:footnote>
  <w:footnote w:type="continuationNotice" w:id="1">
    <w:p w14:paraId="4AA26997" w14:textId="77777777" w:rsidR="00DF7509" w:rsidRDefault="00DF75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5FC6"/>
    <w:rsid w:val="001A7719"/>
    <w:rsid w:val="001B366F"/>
    <w:rsid w:val="001B4323"/>
    <w:rsid w:val="001D11DF"/>
    <w:rsid w:val="001D79C9"/>
    <w:rsid w:val="00201EBB"/>
    <w:rsid w:val="00204624"/>
    <w:rsid w:val="0023086E"/>
    <w:rsid w:val="0025258A"/>
    <w:rsid w:val="00253174"/>
    <w:rsid w:val="002A2A4B"/>
    <w:rsid w:val="002A6CCD"/>
    <w:rsid w:val="002B1308"/>
    <w:rsid w:val="002C114E"/>
    <w:rsid w:val="002D22FA"/>
    <w:rsid w:val="002D44FC"/>
    <w:rsid w:val="002E431F"/>
    <w:rsid w:val="002F15F7"/>
    <w:rsid w:val="002F1D00"/>
    <w:rsid w:val="002F2B96"/>
    <w:rsid w:val="00352065"/>
    <w:rsid w:val="003545B1"/>
    <w:rsid w:val="003546F7"/>
    <w:rsid w:val="003704E9"/>
    <w:rsid w:val="003807A6"/>
    <w:rsid w:val="00381D16"/>
    <w:rsid w:val="00382E14"/>
    <w:rsid w:val="00387716"/>
    <w:rsid w:val="003A2D8F"/>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22D8"/>
    <w:rsid w:val="008853CE"/>
    <w:rsid w:val="008863BD"/>
    <w:rsid w:val="008B1205"/>
    <w:rsid w:val="008F6CD5"/>
    <w:rsid w:val="009020B8"/>
    <w:rsid w:val="00921571"/>
    <w:rsid w:val="00926F52"/>
    <w:rsid w:val="0093167F"/>
    <w:rsid w:val="0093286D"/>
    <w:rsid w:val="00932B06"/>
    <w:rsid w:val="0094222C"/>
    <w:rsid w:val="00990925"/>
    <w:rsid w:val="009A21CD"/>
    <w:rsid w:val="009A5B1B"/>
    <w:rsid w:val="009C4340"/>
    <w:rsid w:val="009C732D"/>
    <w:rsid w:val="009E2FAD"/>
    <w:rsid w:val="00A0612F"/>
    <w:rsid w:val="00A354C5"/>
    <w:rsid w:val="00A37FDC"/>
    <w:rsid w:val="00A6458F"/>
    <w:rsid w:val="00A82A12"/>
    <w:rsid w:val="00AA45B1"/>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docProps/app.xml><?xml version="1.0" encoding="utf-8"?>
<Properties xmlns="http://schemas.openxmlformats.org/officeDocument/2006/extended-properties" xmlns:vt="http://schemas.openxmlformats.org/officeDocument/2006/docPropsVTypes">
  <Template>Normal</Template>
  <TotalTime>9661</TotalTime>
  <Pages>4</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Leigh Curtis Buenaflor</cp:lastModifiedBy>
  <cp:revision>15</cp:revision>
  <dcterms:created xsi:type="dcterms:W3CDTF">2023-05-20T15:22:00Z</dcterms:created>
  <dcterms:modified xsi:type="dcterms:W3CDTF">2023-06-06T15:15:00Z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