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 xml:space="preserve">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w:t>
      </w:r>
      <w:proofErr w:type="gramStart"/>
      <w:r w:rsidRPr="008D16B6">
        <w:rPr>
          <w:sz w:val="24"/>
          <w:szCs w:val="24"/>
        </w:rPr>
        <w:t>in order for</w:t>
      </w:r>
      <w:proofErr w:type="gramEnd"/>
      <w:r w:rsidRPr="008D16B6">
        <w:rPr>
          <w:sz w:val="24"/>
          <w:szCs w:val="24"/>
        </w:rPr>
        <w:t xml:space="preserve">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00420201" w:rsidRPr="00420201">
        <w:rPr>
          <w:sz w:val="24"/>
          <w:szCs w:val="24"/>
        </w:rPr>
        <w:t>in order to</w:t>
      </w:r>
      <w:proofErr w:type="gramEnd"/>
      <w:r w:rsidR="00420201" w:rsidRPr="00420201">
        <w:rPr>
          <w:sz w:val="24"/>
          <w:szCs w:val="24"/>
        </w:rPr>
        <w:t xml:space="preserve">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 xml:space="preserve">Availability of team members: Some team members may have other work or responsibilities </w:t>
      </w:r>
      <w:proofErr w:type="gramStart"/>
      <w:r w:rsidRPr="00420201">
        <w:rPr>
          <w:sz w:val="24"/>
          <w:szCs w:val="24"/>
        </w:rPr>
        <w:t>at the moment</w:t>
      </w:r>
      <w:proofErr w:type="gramEnd"/>
      <w:r w:rsidRPr="00420201">
        <w:rPr>
          <w:sz w:val="24"/>
          <w:szCs w:val="24"/>
        </w:rPr>
        <w:t xml:space="preserve">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 xml:space="preserve">Time conflicts:  The provided deadlines may </w:t>
      </w:r>
      <w:proofErr w:type="spellStart"/>
      <w:proofErr w:type="gramStart"/>
      <w:r w:rsidRPr="00420201">
        <w:rPr>
          <w:sz w:val="24"/>
          <w:szCs w:val="24"/>
        </w:rPr>
        <w:t>provided</w:t>
      </w:r>
      <w:proofErr w:type="spellEnd"/>
      <w:proofErr w:type="gramEnd"/>
      <w:r w:rsidRPr="00420201">
        <w:rPr>
          <w:sz w:val="24"/>
          <w:szCs w:val="24"/>
        </w:rPr>
        <w:t xml:space="preserve">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 xml:space="preserve">The </w:t>
      </w:r>
      <w:proofErr w:type="spellStart"/>
      <w:r w:rsidR="00203269" w:rsidRPr="00203269">
        <w:rPr>
          <w:sz w:val="24"/>
          <w:szCs w:val="24"/>
        </w:rPr>
        <w:t>Villamin</w:t>
      </w:r>
      <w:proofErr w:type="spellEnd"/>
      <w:r w:rsidR="00203269" w:rsidRPr="00203269">
        <w:rPr>
          <w:sz w:val="24"/>
          <w:szCs w:val="24"/>
        </w:rPr>
        <w:t xml:space="preserve"> Wood and Ironworks System requires understanding from the team of the communication methods and technologies </w:t>
      </w:r>
      <w:proofErr w:type="gramStart"/>
      <w:r w:rsidR="00203269" w:rsidRPr="00203269">
        <w:rPr>
          <w:sz w:val="24"/>
          <w:szCs w:val="24"/>
        </w:rPr>
        <w:t>in order to</w:t>
      </w:r>
      <w:proofErr w:type="gramEnd"/>
      <w:r w:rsidR="00203269" w:rsidRPr="00203269">
        <w:rPr>
          <w:sz w:val="24"/>
          <w:szCs w:val="24"/>
        </w:rPr>
        <w:t xml:space="preserve">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6E495EC3" w14:textId="77777777" w:rsidR="00A13D32" w:rsidRPr="00A13D32" w:rsidRDefault="00654462" w:rsidP="00A13D32">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89" w:name="_Toc134094399"/>
      <w:r w:rsidR="00A13D32" w:rsidRPr="00A13D32">
        <w:rPr>
          <w:sz w:val="24"/>
          <w:szCs w:val="24"/>
        </w:rPr>
        <w:tab/>
      </w:r>
    </w:p>
    <w:p w14:paraId="0FC548B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ab/>
        <w:t xml:space="preserve">In this project, the risk management plan aims to breakdown and identify the potential risks that might be there for the project. That is why the risk management plan is being developed </w:t>
      </w:r>
      <w:proofErr w:type="gramStart"/>
      <w:r w:rsidRPr="00A13D32">
        <w:rPr>
          <w:sz w:val="24"/>
          <w:szCs w:val="24"/>
        </w:rPr>
        <w:t>as a way to</w:t>
      </w:r>
      <w:proofErr w:type="gramEnd"/>
      <w:r w:rsidRPr="00A13D32">
        <w:rPr>
          <w:sz w:val="24"/>
          <w:szCs w:val="24"/>
        </w:rPr>
        <w:t xml:space="preserve"> response to those potential risks and also manage those risks by ensuring that the project team can mitigate it as we achieve the project’s objectives.</w:t>
      </w:r>
    </w:p>
    <w:p w14:paraId="1E836149" w14:textId="77777777" w:rsidR="00A13D32" w:rsidRPr="00A13D32" w:rsidRDefault="00A13D32" w:rsidP="00A13D32">
      <w:pPr>
        <w:tabs>
          <w:tab w:val="left" w:pos="1352"/>
        </w:tabs>
        <w:spacing w:after="0" w:line="480" w:lineRule="auto"/>
        <w:ind w:left="1349"/>
        <w:jc w:val="both"/>
        <w:rPr>
          <w:sz w:val="24"/>
          <w:szCs w:val="24"/>
        </w:rPr>
      </w:pPr>
    </w:p>
    <w:p w14:paraId="3A47D533" w14:textId="77777777" w:rsidR="00A13D32" w:rsidRDefault="00A13D32" w:rsidP="00A13D32">
      <w:pPr>
        <w:tabs>
          <w:tab w:val="left" w:pos="1352"/>
        </w:tabs>
        <w:spacing w:after="0" w:line="480" w:lineRule="auto"/>
        <w:ind w:left="1349"/>
        <w:jc w:val="both"/>
        <w:rPr>
          <w:sz w:val="24"/>
          <w:szCs w:val="24"/>
        </w:rPr>
      </w:pPr>
      <w:r w:rsidRPr="00A13D32">
        <w:rPr>
          <w:sz w:val="24"/>
          <w:szCs w:val="24"/>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37BADEF5" w14:textId="0CF1FB71" w:rsidR="008C2280" w:rsidRPr="002A4DFD" w:rsidRDefault="008C2280" w:rsidP="00A13D32">
      <w:pPr>
        <w:tabs>
          <w:tab w:val="left" w:pos="1352"/>
        </w:tabs>
        <w:spacing w:after="0" w:line="480" w:lineRule="auto"/>
        <w:ind w:left="1349"/>
        <w:rPr>
          <w:rFonts w:cs="Arial"/>
          <w:b/>
          <w:bCs/>
        </w:rPr>
      </w:pPr>
      <w:r>
        <w:rPr>
          <w:rFonts w:cs="Arial"/>
          <w:b/>
          <w:bCs/>
        </w:rPr>
        <w:t>Top 3 Risks</w:t>
      </w:r>
      <w:bookmarkEnd w:id="89"/>
    </w:p>
    <w:p w14:paraId="3BA942C4" w14:textId="2081513A" w:rsidR="00A13D32" w:rsidRPr="00A13D32" w:rsidRDefault="008C2280" w:rsidP="00A13D32">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0" w:name="_Toc134094400"/>
      <w:r w:rsidR="00A13D32" w:rsidRPr="00A13D32">
        <w:rPr>
          <w:sz w:val="24"/>
          <w:szCs w:val="24"/>
        </w:rPr>
        <w:t>The project’s top three risks are:</w:t>
      </w:r>
    </w:p>
    <w:p w14:paraId="67732EFE"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1.</w:t>
      </w:r>
      <w:r w:rsidRPr="00A13D32">
        <w:rPr>
          <w:sz w:val="24"/>
          <w:szCs w:val="24"/>
        </w:rPr>
        <w:tab/>
        <w:t xml:space="preserve">Technical risks which may occur due to delays in development of the project or technical issues. This may result in issues with the budget and delay in the project timeline as well. </w:t>
      </w:r>
    </w:p>
    <w:p w14:paraId="48DEC5A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2.</w:t>
      </w:r>
      <w:r w:rsidRPr="00A13D32">
        <w:rPr>
          <w:sz w:val="24"/>
          <w:szCs w:val="24"/>
        </w:rPr>
        <w:tab/>
        <w:t xml:space="preserve">Resource risks which may occur when there are insufficient resources which may be needed for further development. </w:t>
      </w:r>
    </w:p>
    <w:p w14:paraId="0C6535EA" w14:textId="77777777" w:rsidR="00A13D32" w:rsidRDefault="00A13D32" w:rsidP="00A13D32">
      <w:pPr>
        <w:tabs>
          <w:tab w:val="left" w:pos="1352"/>
        </w:tabs>
        <w:spacing w:after="0" w:line="480" w:lineRule="auto"/>
        <w:ind w:left="1349"/>
        <w:jc w:val="both"/>
        <w:rPr>
          <w:sz w:val="24"/>
          <w:szCs w:val="24"/>
        </w:rPr>
      </w:pPr>
      <w:r w:rsidRPr="00A13D32">
        <w:rPr>
          <w:sz w:val="24"/>
          <w:szCs w:val="24"/>
        </w:rPr>
        <w:t>3.</w:t>
      </w:r>
      <w:r w:rsidRPr="00A13D32">
        <w:rPr>
          <w:sz w:val="24"/>
          <w:szCs w:val="24"/>
        </w:rPr>
        <w:tab/>
        <w:t>Security Risks which may occur when there is a data breach or any other form of hacking of the system.</w:t>
      </w:r>
    </w:p>
    <w:p w14:paraId="7A4D07B4" w14:textId="1C15D3A6" w:rsidR="008C2280" w:rsidRPr="002A4DFD" w:rsidRDefault="008C2280" w:rsidP="00A13D32">
      <w:pPr>
        <w:tabs>
          <w:tab w:val="left" w:pos="1352"/>
        </w:tabs>
        <w:spacing w:after="0" w:line="480" w:lineRule="auto"/>
        <w:ind w:left="1349"/>
        <w:jc w:val="both"/>
        <w:rPr>
          <w:rFonts w:cs="Arial"/>
          <w:b/>
          <w:bCs/>
        </w:rPr>
      </w:pPr>
      <w:r>
        <w:rPr>
          <w:rFonts w:cs="Arial"/>
          <w:b/>
          <w:bCs/>
        </w:rPr>
        <w:t>Risk Management Approach</w:t>
      </w:r>
      <w:bookmarkEnd w:id="90"/>
    </w:p>
    <w:p w14:paraId="4AAF9C07" w14:textId="77777777" w:rsidR="00176CF7" w:rsidRDefault="008C2280" w:rsidP="00176CF7">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1" w:name="_Toc134094401"/>
      <w:r w:rsidR="00176CF7" w:rsidRPr="00176CF7">
        <w:rPr>
          <w:sz w:val="24"/>
          <w:szCs w:val="24"/>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5BCF1DBB" w14:textId="33F4A01F" w:rsidR="008C2280" w:rsidRPr="002A4DFD" w:rsidRDefault="008C2280" w:rsidP="00176CF7">
      <w:pPr>
        <w:tabs>
          <w:tab w:val="left" w:pos="1352"/>
        </w:tabs>
        <w:spacing w:after="0" w:line="480" w:lineRule="auto"/>
        <w:ind w:left="1349"/>
        <w:rPr>
          <w:rFonts w:cs="Arial"/>
          <w:b/>
          <w:bCs/>
        </w:rPr>
      </w:pPr>
      <w:r>
        <w:rPr>
          <w:rFonts w:cs="Arial"/>
          <w:b/>
          <w:bCs/>
        </w:rPr>
        <w:t>Risk Identification</w:t>
      </w:r>
      <w:bookmarkEnd w:id="91"/>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2" w:name="_Toc134094402"/>
      <w:r>
        <w:rPr>
          <w:rFonts w:cs="Arial"/>
          <w:b/>
          <w:bCs/>
        </w:rPr>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t>Risk Monitoring</w:t>
      </w:r>
      <w:bookmarkEnd w:id="93"/>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5" w:name="_Toc134094405"/>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lastRenderedPageBreak/>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 xml:space="preserve">Organizations can streamline their procurement processes, lower risks, and </w:t>
      </w:r>
      <w:r w:rsidRPr="00437E6F">
        <w:rPr>
          <w:rStyle w:val="normaltextrun"/>
          <w:rFonts w:cs="Arial"/>
        </w:rPr>
        <w:lastRenderedPageBreak/>
        <w:t>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 xml:space="preserve">for identifying, evaluating, and reducing risks. Throughout the course of the project, this plan will be continuously reviewed and updated to make sure that risks are recognized and promptly addressed. Furthermore, we'll put into practice strict </w:t>
      </w:r>
      <w:r w:rsidRPr="005F16C3">
        <w:rPr>
          <w:rStyle w:val="normaltextrun"/>
          <w:rFonts w:cs="Arial"/>
        </w:rPr>
        <w:lastRenderedPageBreak/>
        <w:t>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Thoroughly </w:t>
      </w:r>
      <w:proofErr w:type="gramStart"/>
      <w:r w:rsidRPr="007536FB">
        <w:rPr>
          <w:rStyle w:val="eop"/>
          <w:rFonts w:ascii="Arial" w:hAnsi="Arial"/>
        </w:rPr>
        <w:t>research about</w:t>
      </w:r>
      <w:proofErr w:type="gramEnd"/>
      <w:r w:rsidRPr="007536FB">
        <w:rPr>
          <w:rStyle w:val="eop"/>
          <w:rFonts w:ascii="Arial" w:hAnsi="Arial"/>
        </w:rPr>
        <w:t xml:space="preserve">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Establish </w:t>
      </w:r>
      <w:proofErr w:type="gramStart"/>
      <w:r w:rsidRPr="007536FB">
        <w:rPr>
          <w:rStyle w:val="eop"/>
          <w:rFonts w:ascii="Arial" w:hAnsi="Arial"/>
        </w:rPr>
        <w:t>a clear</w:t>
      </w:r>
      <w:proofErr w:type="gramEnd"/>
      <w:r w:rsidRPr="007536FB">
        <w:rPr>
          <w:rStyle w:val="eop"/>
          <w:rFonts w:ascii="Arial" w:hAnsi="Arial"/>
        </w:rPr>
        <w:t xml:space="preserve">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w:t>
      </w:r>
      <w:r w:rsidRPr="007536FB">
        <w:rPr>
          <w:rStyle w:val="eop"/>
          <w:rFonts w:ascii="Arial" w:hAnsi="Arial"/>
        </w:rPr>
        <w:lastRenderedPageBreak/>
        <w:t>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w:t>
      </w:r>
      <w:proofErr w:type="gramStart"/>
      <w:r w:rsidRPr="007536FB">
        <w:rPr>
          <w:rStyle w:val="eop"/>
          <w:rFonts w:ascii="Arial" w:hAnsi="Arial"/>
        </w:rPr>
        <w:t>ensure</w:t>
      </w:r>
      <w:proofErr w:type="gramEnd"/>
      <w:r w:rsidRPr="007536FB">
        <w:rPr>
          <w:rStyle w:val="eop"/>
          <w:rFonts w:ascii="Arial" w:hAnsi="Arial"/>
        </w:rPr>
        <w:t xml:space="preserv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 xml:space="preserve">The procurement plan will emphasize the commitment to continuous improvement as an integral part of the procurement lifecycle, ensuring that </w:t>
      </w:r>
      <w:r w:rsidRPr="007536FB">
        <w:rPr>
          <w:rStyle w:val="eop"/>
          <w:rFonts w:ascii="Arial" w:hAnsi="Arial"/>
        </w:rPr>
        <w:lastRenderedPageBreak/>
        <w:t>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 xml:space="preserve">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w:t>
      </w:r>
      <w:r w:rsidRPr="002562E5">
        <w:rPr>
          <w:rStyle w:val="eop"/>
          <w:rFonts w:ascii="Arial" w:hAnsi="Arial"/>
        </w:rPr>
        <w:lastRenderedPageBreak/>
        <w:t>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w:t>
      </w:r>
      <w:proofErr w:type="gramStart"/>
      <w:r w:rsidRPr="002B7AD1">
        <w:rPr>
          <w:rStyle w:val="eop"/>
          <w:rFonts w:ascii="Arial" w:hAnsi="Arial" w:cs="Arial"/>
        </w:rPr>
        <w:t>pay</w:t>
      </w:r>
      <w:proofErr w:type="gramEnd"/>
      <w:r w:rsidRPr="002B7AD1">
        <w:rPr>
          <w:rStyle w:val="eop"/>
          <w:rFonts w:ascii="Arial" w:hAnsi="Arial" w:cs="Arial"/>
        </w:rPr>
        <w:t xml:space="preserve"> their products. </w:t>
      </w:r>
      <w:r w:rsidRPr="002B7AD1">
        <w:rPr>
          <w:rStyle w:val="eop"/>
          <w:rFonts w:ascii="Arial" w:hAnsi="Arial" w:cs="Arial"/>
        </w:rPr>
        <w:lastRenderedPageBreak/>
        <w:t>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w:t>
      </w:r>
      <w:r w:rsidRPr="004A125F">
        <w:rPr>
          <w:rStyle w:val="eop"/>
          <w:rFonts w:ascii="Arial" w:hAnsi="Arial" w:cs="Arial"/>
        </w:rPr>
        <w:lastRenderedPageBreak/>
        <w:t xml:space="preserve">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lastRenderedPageBreak/>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 xml:space="preserve">During the decision-making process, the cost of the vendor's suggested solution will be considered. The vendor's pricing should be competitive and reasonable </w:t>
      </w:r>
      <w:proofErr w:type="gramStart"/>
      <w:r w:rsidRPr="00261027">
        <w:rPr>
          <w:rFonts w:ascii="Arial" w:hAnsi="Arial" w:cs="Arial"/>
        </w:rPr>
        <w:t>in light of</w:t>
      </w:r>
      <w:proofErr w:type="gramEnd"/>
      <w:r w:rsidRPr="00261027">
        <w:rPr>
          <w:rFonts w:ascii="Arial" w:hAnsi="Arial" w:cs="Arial"/>
        </w:rPr>
        <w:t xml:space="preserve">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 xml:space="preserve">The vendor must show that they have a solid grasp of potential risks and mitigation techniques. This includes identifying potential risks associated with </w:t>
      </w:r>
      <w:proofErr w:type="gramStart"/>
      <w:r w:rsidRPr="00261027">
        <w:rPr>
          <w:rFonts w:ascii="Arial" w:hAnsi="Arial" w:cs="Arial"/>
        </w:rPr>
        <w:t>project</w:t>
      </w:r>
      <w:proofErr w:type="gramEnd"/>
      <w:r w:rsidRPr="00261027">
        <w:rPr>
          <w:rFonts w:ascii="Arial" w:hAnsi="Arial" w:cs="Arial"/>
        </w:rPr>
        <w:t xml:space="preserve">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lastRenderedPageBreak/>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lastRenderedPageBreak/>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lastRenderedPageBreak/>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176CF7" w:rsidP="00D55D2E">
      <w:r>
        <w:lastRenderedPageBreak/>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8pt;height:93.2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lastRenderedPageBreak/>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8E88" w14:textId="77777777" w:rsidR="008A2CFC" w:rsidRDefault="008A2CFC" w:rsidP="009831F7">
      <w:pPr>
        <w:spacing w:after="0" w:line="240" w:lineRule="auto"/>
      </w:pPr>
      <w:r>
        <w:separator/>
      </w:r>
    </w:p>
  </w:endnote>
  <w:endnote w:type="continuationSeparator" w:id="0">
    <w:p w14:paraId="0CF93AE3" w14:textId="77777777" w:rsidR="008A2CFC" w:rsidRDefault="008A2CFC" w:rsidP="009831F7">
      <w:pPr>
        <w:spacing w:after="0" w:line="240" w:lineRule="auto"/>
      </w:pPr>
      <w:r>
        <w:continuationSeparator/>
      </w:r>
    </w:p>
  </w:endnote>
  <w:endnote w:type="continuationNotice" w:id="1">
    <w:p w14:paraId="5FAE95E7" w14:textId="77777777" w:rsidR="008A2CFC" w:rsidRDefault="008A2C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B75D" w14:textId="77777777" w:rsidR="008A2CFC" w:rsidRDefault="008A2CFC" w:rsidP="009831F7">
      <w:pPr>
        <w:spacing w:after="0" w:line="240" w:lineRule="auto"/>
      </w:pPr>
      <w:r>
        <w:separator/>
      </w:r>
    </w:p>
  </w:footnote>
  <w:footnote w:type="continuationSeparator" w:id="0">
    <w:p w14:paraId="47C9A3FB" w14:textId="77777777" w:rsidR="008A2CFC" w:rsidRDefault="008A2CFC" w:rsidP="009831F7">
      <w:pPr>
        <w:spacing w:after="0" w:line="240" w:lineRule="auto"/>
      </w:pPr>
      <w:r>
        <w:continuationSeparator/>
      </w:r>
    </w:p>
  </w:footnote>
  <w:footnote w:type="continuationNotice" w:id="1">
    <w:p w14:paraId="54303145" w14:textId="77777777" w:rsidR="008A2CFC" w:rsidRDefault="008A2C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5"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1"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2"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4"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6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3"/>
  </w:num>
  <w:num w:numId="3" w16cid:durableId="390202833">
    <w:abstractNumId w:val="0"/>
  </w:num>
  <w:num w:numId="4" w16cid:durableId="2068145466">
    <w:abstractNumId w:val="56"/>
  </w:num>
  <w:num w:numId="5" w16cid:durableId="934896870">
    <w:abstractNumId w:val="7"/>
  </w:num>
  <w:num w:numId="6" w16cid:durableId="1622765638">
    <w:abstractNumId w:val="44"/>
  </w:num>
  <w:num w:numId="7" w16cid:durableId="1666669342">
    <w:abstractNumId w:val="18"/>
  </w:num>
  <w:num w:numId="8" w16cid:durableId="1387952349">
    <w:abstractNumId w:val="33"/>
  </w:num>
  <w:num w:numId="9" w16cid:durableId="1825857352">
    <w:abstractNumId w:val="47"/>
  </w:num>
  <w:num w:numId="10" w16cid:durableId="1076629981">
    <w:abstractNumId w:val="26"/>
  </w:num>
  <w:num w:numId="11" w16cid:durableId="1772822540">
    <w:abstractNumId w:val="52"/>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8"/>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9"/>
  </w:num>
  <w:num w:numId="25" w16cid:durableId="2108766205">
    <w:abstractNumId w:val="36"/>
  </w:num>
  <w:num w:numId="26" w16cid:durableId="1417168447">
    <w:abstractNumId w:val="19"/>
  </w:num>
  <w:num w:numId="27" w16cid:durableId="2142527811">
    <w:abstractNumId w:val="17"/>
  </w:num>
  <w:num w:numId="28" w16cid:durableId="144512680">
    <w:abstractNumId w:val="45"/>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4"/>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8"/>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50"/>
  </w:num>
  <w:num w:numId="50" w16cid:durableId="1320230525">
    <w:abstractNumId w:val="39"/>
  </w:num>
  <w:num w:numId="51" w16cid:durableId="683480773">
    <w:abstractNumId w:val="12"/>
  </w:num>
  <w:num w:numId="52" w16cid:durableId="1831100064">
    <w:abstractNumId w:val="31"/>
  </w:num>
  <w:num w:numId="53" w16cid:durableId="1897667967">
    <w:abstractNumId w:val="51"/>
  </w:num>
  <w:num w:numId="54" w16cid:durableId="1396902717">
    <w:abstractNumId w:val="59"/>
  </w:num>
  <w:num w:numId="55" w16cid:durableId="1038512930">
    <w:abstractNumId w:val="46"/>
  </w:num>
  <w:num w:numId="56" w16cid:durableId="2088261114">
    <w:abstractNumId w:val="21"/>
  </w:num>
  <w:num w:numId="57" w16cid:durableId="1450080683">
    <w:abstractNumId w:val="57"/>
  </w:num>
  <w:num w:numId="58" w16cid:durableId="1633095076">
    <w:abstractNumId w:val="60"/>
  </w:num>
  <w:num w:numId="59" w16cid:durableId="225994954">
    <w:abstractNumId w:val="30"/>
  </w:num>
  <w:num w:numId="60" w16cid:durableId="440298803">
    <w:abstractNumId w:val="55"/>
  </w:num>
  <w:num w:numId="61" w16cid:durableId="19015489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6CF7"/>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A2CFC"/>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3D32"/>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400"/>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56</Pages>
  <Words>11148</Words>
  <Characters>63550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74549</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288</cp:revision>
  <dcterms:created xsi:type="dcterms:W3CDTF">2022-12-17T13:36:00Z</dcterms:created>
  <dcterms:modified xsi:type="dcterms:W3CDTF">2023-06-07T14:00:00Z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