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9856" w14:textId="0CC795DC" w:rsidR="00E43CC7" w:rsidRDefault="00196093">
      <w:pPr>
        <w:pStyle w:val="Heading1"/>
        <w:rPr>
          <w:color w:val="auto"/>
        </w:rPr>
      </w:pPr>
      <w:r w:rsidRPr="004C0D3E">
        <w:rPr>
          <w:color w:val="auto"/>
        </w:rPr>
        <w:t>Alignment Table</w:t>
      </w:r>
    </w:p>
    <w:p w14:paraId="35E2D3BB" w14:textId="77777777" w:rsidR="00073115" w:rsidRDefault="00073115" w:rsidP="00073115"/>
    <w:p w14:paraId="3BAE8F18" w14:textId="6823236A" w:rsidR="00073115" w:rsidRDefault="00073115" w:rsidP="00073115">
      <w:pPr>
        <w:jc w:val="both"/>
        <w:rPr>
          <w:rFonts w:asciiTheme="majorHAnsi" w:hAnsiTheme="majorHAnsi" w:cstheme="majorHAnsi"/>
          <w:sz w:val="24"/>
          <w:szCs w:val="24"/>
        </w:rPr>
      </w:pPr>
      <w:r w:rsidRPr="00073115">
        <w:rPr>
          <w:rFonts w:asciiTheme="majorHAnsi" w:hAnsiTheme="majorHAnsi" w:cstheme="majorHAnsi"/>
          <w:sz w:val="24"/>
          <w:szCs w:val="24"/>
        </w:rPr>
        <w:t xml:space="preserve">Create an Alignment Table that clearly shows the connection </w:t>
      </w:r>
      <w:r>
        <w:rPr>
          <w:rFonts w:asciiTheme="majorHAnsi" w:hAnsiTheme="majorHAnsi" w:cstheme="majorHAnsi"/>
          <w:sz w:val="24"/>
          <w:szCs w:val="24"/>
        </w:rPr>
        <w:t xml:space="preserve">among the SOP/s, </w:t>
      </w:r>
      <w:r w:rsidRPr="00073115">
        <w:rPr>
          <w:rFonts w:asciiTheme="majorHAnsi" w:hAnsiTheme="majorHAnsi" w:cstheme="majorHAnsi"/>
          <w:sz w:val="24"/>
          <w:szCs w:val="24"/>
        </w:rPr>
        <w:t>Research Question</w:t>
      </w:r>
      <w:r>
        <w:rPr>
          <w:rFonts w:asciiTheme="majorHAnsi" w:hAnsiTheme="majorHAnsi" w:cstheme="majorHAnsi"/>
          <w:sz w:val="24"/>
          <w:szCs w:val="24"/>
        </w:rPr>
        <w:t>s and Objectives</w:t>
      </w:r>
      <w:r w:rsidRPr="00073115">
        <w:rPr>
          <w:rFonts w:asciiTheme="majorHAnsi" w:hAnsiTheme="majorHAnsi" w:cstheme="majorHAnsi"/>
          <w:sz w:val="24"/>
          <w:szCs w:val="24"/>
        </w:rPr>
        <w:t xml:space="preserve"> in Chapter 1, the corresponding Methodology or Analysis in Chapter 3, and the specific Results Evidence in Chapter 4, such as tables, figures, themes, </w:t>
      </w:r>
      <w:r w:rsidR="00412153">
        <w:rPr>
          <w:rFonts w:asciiTheme="majorHAnsi" w:hAnsiTheme="majorHAnsi" w:cstheme="majorHAnsi"/>
          <w:sz w:val="24"/>
          <w:szCs w:val="24"/>
        </w:rPr>
        <w:t>and other related information</w:t>
      </w:r>
      <w:r w:rsidRPr="00073115">
        <w:rPr>
          <w:rFonts w:asciiTheme="majorHAnsi" w:hAnsiTheme="majorHAnsi" w:cstheme="majorHAnsi"/>
          <w:sz w:val="24"/>
          <w:szCs w:val="24"/>
        </w:rPr>
        <w:t xml:space="preserve">. Use </w:t>
      </w:r>
      <w:r>
        <w:rPr>
          <w:rFonts w:asciiTheme="majorHAnsi" w:hAnsiTheme="majorHAnsi" w:cstheme="majorHAnsi"/>
          <w:sz w:val="24"/>
          <w:szCs w:val="24"/>
        </w:rPr>
        <w:t xml:space="preserve">the </w:t>
      </w:r>
      <w:r w:rsidRPr="00073115">
        <w:rPr>
          <w:rFonts w:asciiTheme="majorHAnsi" w:hAnsiTheme="majorHAnsi" w:cstheme="majorHAnsi"/>
          <w:sz w:val="24"/>
          <w:szCs w:val="24"/>
        </w:rPr>
        <w:t xml:space="preserve">table </w:t>
      </w:r>
      <w:r>
        <w:rPr>
          <w:rFonts w:asciiTheme="majorHAnsi" w:hAnsiTheme="majorHAnsi" w:cstheme="majorHAnsi"/>
          <w:sz w:val="24"/>
          <w:szCs w:val="24"/>
        </w:rPr>
        <w:t xml:space="preserve">below </w:t>
      </w:r>
      <w:r w:rsidRPr="00073115">
        <w:rPr>
          <w:rFonts w:asciiTheme="majorHAnsi" w:hAnsiTheme="majorHAnsi" w:cstheme="majorHAnsi"/>
          <w:sz w:val="24"/>
          <w:szCs w:val="24"/>
        </w:rPr>
        <w:t>as a presentation guide to show that every research question</w:t>
      </w:r>
      <w:r>
        <w:rPr>
          <w:rFonts w:asciiTheme="majorHAnsi" w:hAnsiTheme="majorHAnsi" w:cstheme="majorHAnsi"/>
          <w:sz w:val="24"/>
          <w:szCs w:val="24"/>
        </w:rPr>
        <w:t xml:space="preserve"> and objective</w:t>
      </w:r>
      <w:r w:rsidRPr="00073115">
        <w:rPr>
          <w:rFonts w:asciiTheme="majorHAnsi" w:hAnsiTheme="majorHAnsi" w:cstheme="majorHAnsi"/>
          <w:sz w:val="24"/>
          <w:szCs w:val="24"/>
        </w:rPr>
        <w:t xml:space="preserve"> is </w:t>
      </w:r>
      <w:r>
        <w:rPr>
          <w:rFonts w:asciiTheme="majorHAnsi" w:hAnsiTheme="majorHAnsi" w:cstheme="majorHAnsi"/>
          <w:sz w:val="24"/>
          <w:szCs w:val="24"/>
        </w:rPr>
        <w:t>addressed</w:t>
      </w:r>
      <w:r w:rsidRPr="00073115">
        <w:rPr>
          <w:rFonts w:asciiTheme="majorHAnsi" w:hAnsiTheme="majorHAnsi" w:cstheme="majorHAnsi"/>
          <w:sz w:val="24"/>
          <w:szCs w:val="24"/>
        </w:rPr>
        <w:t xml:space="preserve"> by appropriate methods and concrete findings. </w:t>
      </w:r>
    </w:p>
    <w:tbl>
      <w:tblPr>
        <w:tblW w:w="10191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662"/>
        <w:gridCol w:w="3124"/>
        <w:gridCol w:w="2987"/>
      </w:tblGrid>
      <w:tr w:rsidR="004C0D3E" w14:paraId="6BFC50B7" w14:textId="77777777" w:rsidTr="001B3BCF">
        <w:trPr>
          <w:tblHeader/>
          <w:jc w:val="center"/>
        </w:trPr>
        <w:tc>
          <w:tcPr>
            <w:tcW w:w="1418" w:type="dxa"/>
          </w:tcPr>
          <w:p w14:paraId="3BDEF4FA" w14:textId="29CA9251" w:rsidR="004C0D3E" w:rsidRPr="00412153" w:rsidRDefault="004C0D3E" w:rsidP="00073115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412153">
              <w:rPr>
                <w:b/>
                <w:sz w:val="20"/>
              </w:rPr>
              <w:t>Statement of the Problem</w:t>
            </w:r>
          </w:p>
        </w:tc>
        <w:tc>
          <w:tcPr>
            <w:tcW w:w="26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CC1B" w14:textId="77777777" w:rsidR="004C0D3E" w:rsidRPr="00412153" w:rsidRDefault="004C0D3E" w:rsidP="00073115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412153">
              <w:rPr>
                <w:b/>
                <w:sz w:val="20"/>
              </w:rPr>
              <w:t>Research Question and</w:t>
            </w:r>
          </w:p>
          <w:p w14:paraId="58340830" w14:textId="0DA23390" w:rsidR="004C0D3E" w:rsidRPr="00412153" w:rsidRDefault="004C0D3E" w:rsidP="00073115">
            <w:pPr>
              <w:spacing w:after="0" w:line="240" w:lineRule="auto"/>
              <w:jc w:val="center"/>
            </w:pPr>
            <w:r w:rsidRPr="00412153">
              <w:rPr>
                <w:b/>
                <w:sz w:val="20"/>
              </w:rPr>
              <w:t>Research Objectives</w:t>
            </w:r>
            <w:r w:rsidRPr="00412153">
              <w:rPr>
                <w:b/>
                <w:sz w:val="20"/>
              </w:rPr>
              <w:br/>
              <w:t>(Chapter 1)</w:t>
            </w:r>
          </w:p>
        </w:tc>
        <w:tc>
          <w:tcPr>
            <w:tcW w:w="31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AF752" w14:textId="77777777" w:rsidR="004C0D3E" w:rsidRPr="00412153" w:rsidRDefault="004C0D3E" w:rsidP="00073115">
            <w:pPr>
              <w:spacing w:after="0" w:line="240" w:lineRule="auto"/>
              <w:jc w:val="center"/>
            </w:pPr>
            <w:r w:rsidRPr="00412153">
              <w:rPr>
                <w:b/>
                <w:sz w:val="20"/>
              </w:rPr>
              <w:t>Methodology / Analysis</w:t>
            </w:r>
            <w:r w:rsidRPr="00412153">
              <w:rPr>
                <w:b/>
                <w:sz w:val="20"/>
              </w:rPr>
              <w:br/>
              <w:t>(Chapter 3)</w:t>
            </w:r>
          </w:p>
        </w:tc>
        <w:tc>
          <w:tcPr>
            <w:tcW w:w="298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EF57C" w14:textId="77777777" w:rsidR="004C0D3E" w:rsidRPr="00412153" w:rsidRDefault="004C0D3E" w:rsidP="00073115">
            <w:pPr>
              <w:spacing w:after="0" w:line="240" w:lineRule="auto"/>
              <w:jc w:val="center"/>
            </w:pPr>
            <w:r w:rsidRPr="00412153">
              <w:rPr>
                <w:b/>
                <w:sz w:val="20"/>
              </w:rPr>
              <w:t>Results Evidence</w:t>
            </w:r>
            <w:r w:rsidRPr="00412153">
              <w:rPr>
                <w:b/>
                <w:sz w:val="20"/>
              </w:rPr>
              <w:br/>
              <w:t>(Chapter 4)</w:t>
            </w:r>
          </w:p>
        </w:tc>
      </w:tr>
      <w:tr w:rsidR="004C0D3E" w14:paraId="277ED64E" w14:textId="77777777" w:rsidTr="001B3BCF">
        <w:trPr>
          <w:jc w:val="center"/>
        </w:trPr>
        <w:tc>
          <w:tcPr>
            <w:tcW w:w="1418" w:type="dxa"/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SOP 1:</w:t>
            </w:r>
            <w:r>
              <w:rPr>
                <w:sz w:val="19"/>
              </w:rPr>
              <w:t xml:space="preserve"> Existing chat moderation systems must be evaluated for how effectively they detect grooming-related interactions.</w:t>
            </w:r>
          </w:p>
        </w:tc>
        <w:tc>
          <w:tcPr>
            <w:tcW w:w="26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RQ1 / RO1:</w:t>
            </w:r>
            <w:r>
              <w:rPr>
                <w:sz w:val="19"/>
              </w:rPr>
              <w:t xml:space="preserve"> How effective are existing chat moderation systems in detecting grooming-related interactions? This aligns with evaluating the effectiveness of existing keyword-based and rule-based systems.</w:t>
            </w:r>
          </w:p>
        </w:tc>
        <w:tc>
          <w:tcPr>
            <w:tcW w:w="31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Method:</w:t>
            </w:r>
            <w:r>
              <w:rPr>
                <w:sz w:val="19"/>
              </w:rPr>
              <w:t xml:space="preserve"> Section 3.4.3 evaluates the training-derived keyword rule on the connected-author held-out test using precision, recall, PR-AUC, F0.5, and confusion counts.</w:t>
            </w:r>
          </w:p>
        </w:tc>
        <w:tc>
          <w:tcPr>
            <w:tcW w:w="298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Evidence:</w:t>
            </w:r>
            <w:r>
              <w:rPr>
                <w:sz w:val="19"/>
              </w:rPr>
              <w:t xml:space="preserve"> Table 4.1 reports that the keyword rule achieved PR-AUC 0.4451, recall 0.6136, and 17 false negatives on the held-out test.</w:t>
            </w:r>
          </w:p>
        </w:tc>
      </w:tr>
      <w:tr w:rsidR="004C0D3E" w14:paraId="1853BE9A" w14:textId="77777777" w:rsidTr="001B3BCF">
        <w:trPr>
          <w:jc w:val="center"/>
        </w:trPr>
        <w:tc>
          <w:tcPr>
            <w:tcW w:w="1418" w:type="dxa"/>
            <w:shd w:val="clear" w:color="auto" w:fill="FFFFFF"/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SOP 2:</w:t>
            </w:r>
            <w:r>
              <w:rPr>
                <w:sz w:val="19"/>
              </w:rPr>
              <w:t xml:space="preserve"> Keyword-based and rule-based approaches are limited when the meaning of a message depends on conversational context.</w:t>
            </w:r>
          </w:p>
        </w:tc>
        <w:tc>
          <w:tcPr>
            <w:tcW w:w="266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RQ2 / RO1:</w:t>
            </w:r>
            <w:r>
              <w:rPr>
                <w:sz w:val="19"/>
              </w:rPr>
              <w:t xml:space="preserve"> What are the limitations of keyword-based and rule-based moderation approaches in handling context-dependent communication? This aligns with evaluating their limitations and effectiveness.</w:t>
            </w:r>
          </w:p>
        </w:tc>
        <w:tc>
          <w:tcPr>
            <w:tcW w:w="31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Method:</w:t>
            </w:r>
            <w:r>
              <w:rPr>
                <w:sz w:val="19"/>
              </w:rPr>
              <w:t xml:space="preserve"> Sections 3.4.3 and 3.5 compare the keyword rule and static score-based methods with the context-conditioned trajectory LSTM on the same locked partition.</w:t>
            </w:r>
          </w:p>
        </w:tc>
        <w:tc>
          <w:tcPr>
            <w:tcW w:w="298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Evidence:</w:t>
            </w:r>
            <w:r>
              <w:rPr>
                <w:sz w:val="19"/>
              </w:rPr>
              <w:t xml:space="preserve"> Table 4.2 shows that the primary LSTM exceeded maximum Layer 1 aggregation by +0.3630 PR-AUC and +0.3864 recall.</w:t>
            </w:r>
          </w:p>
        </w:tc>
      </w:tr>
      <w:tr w:rsidR="004C0D3E" w14:paraId="745E8CFA" w14:textId="77777777" w:rsidTr="001B3BCF">
        <w:trPr>
          <w:jc w:val="center"/>
        </w:trPr>
        <w:tc>
          <w:tcPr>
            <w:tcW w:w="1418" w:type="dxa"/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SOP 3:</w:t>
            </w:r>
            <w:r>
              <w:rPr>
                <w:sz w:val="19"/>
              </w:rPr>
              <w:t xml:space="preserve"> The study requires an AI architecture that analyzes conversational context and behavioral development across multiple interactions.</w:t>
            </w:r>
          </w:p>
        </w:tc>
        <w:tc>
          <w:tcPr>
            <w:tcW w:w="26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RQ3 / RO2:</w:t>
            </w:r>
            <w:r>
              <w:rPr>
                <w:sz w:val="19"/>
              </w:rPr>
              <w:t xml:space="preserve"> How can machine learning and natural language processing analyze behavioral patterns and conversational context? This aligns with designing and developing the two-layer AI moderation module.</w:t>
            </w:r>
          </w:p>
        </w:tc>
        <w:tc>
          <w:tcPr>
            <w:tcW w:w="31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Method:</w:t>
            </w:r>
            <w:r>
              <w:rPr>
                <w:sz w:val="19"/>
              </w:rPr>
              <w:t xml:space="preserve"> Sections 3.3.4 and 3.4 implement context-conditioned DistilBERT, seven chronological trajectory features, and a primary LSTM sequence model.</w:t>
            </w:r>
          </w:p>
        </w:tc>
        <w:tc>
          <w:tcPr>
            <w:tcW w:w="298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Evidence:</w:t>
            </w:r>
            <w:r>
              <w:rPr>
                <w:sz w:val="19"/>
              </w:rPr>
              <w:t xml:space="preserve"> Section 4.7 confirms that the completed module combines chronological trajectory scoring with a working sequential human-review interface.</w:t>
            </w:r>
          </w:p>
        </w:tc>
      </w:tr>
      <w:tr w:rsidR="004C0D3E" w14:paraId="745E8CFA" w14:textId="77777777" w:rsidTr="001B3BCF">
        <w:trPr>
          <w:jc w:val="center"/>
        </w:trPr>
        <w:tc>
          <w:tcPr>
            <w:tcW w:w="1418" w:type="dxa"/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SOP 4:</w:t>
            </w:r>
            <w:r>
              <w:rPr>
                <w:sz w:val="19"/>
              </w:rPr>
              <w:t xml:space="preserve"> The completed AI-driven module must be assessed for recall improvement and false-negative reduction against conventional and static approaches.</w:t>
            </w:r>
          </w:p>
        </w:tc>
        <w:tc>
          <w:tcPr>
            <w:tcW w:w="266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RQ4 / RO3:</w:t>
            </w:r>
            <w:r>
              <w:rPr>
                <w:sz w:val="19"/>
              </w:rPr>
              <w:t xml:space="preserve"> To what extent does the module improve recall and reduce false negatives? This aligns with assessing improvement over traditional keyword-based and report-driven approaches.</w:t>
            </w:r>
          </w:p>
        </w:tc>
        <w:tc>
          <w:tcPr>
            <w:tcW w:w="31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Method:</w:t>
            </w:r>
            <w:r>
              <w:rPr>
                <w:sz w:val="19"/>
              </w:rPr>
              <w:t xml:space="preserve"> Section 3.5 applies validation-frozen choices and a one-time 1,862-conversation held-out test, with 2,000 connected-author bootstrap resamples for comparative inference.</w:t>
            </w:r>
          </w:p>
        </w:tc>
        <w:tc>
          <w:tcPr>
            <w:tcW w:w="298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  <w:rPr>
                <w:sz w:val="19"/>
              </w:rPr>
            </w:pPr>
            <w:r>
              <w:rPr>
                <w:sz w:val="19"/>
                <w:b/>
              </w:rPr>
              <w:t xml:space="preserve">Evidence:</w:t>
            </w:r>
            <w:r>
              <w:rPr>
                <w:sz w:val="19"/>
              </w:rPr>
              <w:t xml:space="preserve"> Table 4.1 shows 0.9091 recall and 4 false negatives for the primary LSTM, reducing false negatives by 76.5% versus the keyword rule and 50.0% versus the weighted scorer.</w:t>
            </w:r>
          </w:p>
        </w:tc>
      </w:tr>
    </w:tbl>
    <w:p w14:paraId="5473CE81" w14:textId="77777777" w:rsidR="00E43CC7" w:rsidRDefault="00E43CC7"/>
    <w:p w14:paraId="7AFA04BB" w14:textId="5B72C855" w:rsidR="00073115" w:rsidRDefault="00073115" w:rsidP="00073115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73115">
        <w:rPr>
          <w:b/>
          <w:bCs/>
        </w:rPr>
        <w:t>REMINDERS:</w:t>
      </w:r>
    </w:p>
    <w:p w14:paraId="05BAC546" w14:textId="77777777" w:rsidR="00073115" w:rsidRPr="00073115" w:rsidRDefault="00073115" w:rsidP="00073115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25F89FE" w14:textId="7D81E34D" w:rsidR="00E43CC7" w:rsidRDefault="00196093">
      <w:pPr>
        <w:pStyle w:val="ListBullet"/>
      </w:pPr>
      <w:r>
        <w:t>Every Research Question must be connected to a specific method and a specific result or evidence.</w:t>
      </w:r>
    </w:p>
    <w:p w14:paraId="663DB7E1" w14:textId="77777777" w:rsidR="00E43CC7" w:rsidRDefault="00196093">
      <w:pPr>
        <w:pStyle w:val="ListBullet"/>
      </w:pPr>
      <w:r>
        <w:t>If a research question does not have a corresponding table, figure, theme, or statistical output, revisit Chapter 4 because the question may not have been fully answered.</w:t>
      </w:r>
    </w:p>
    <w:p w14:paraId="68C40E13" w14:textId="77777777" w:rsidR="00E43CC7" w:rsidRDefault="00196093">
      <w:pPr>
        <w:pStyle w:val="ListBullet"/>
      </w:pPr>
      <w:r>
        <w:t>Use the alignment table to guide the panel through the logical flow: Research Questions → Methodology → Results → Conclusions.</w:t>
      </w:r>
    </w:p>
    <w:sectPr w:rsidR="00E43CC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1E88" w14:textId="77777777" w:rsidR="009B3987" w:rsidRDefault="009B3987">
      <w:pPr>
        <w:spacing w:after="0" w:line="240" w:lineRule="auto"/>
      </w:pPr>
      <w:r>
        <w:separator/>
      </w:r>
    </w:p>
  </w:endnote>
  <w:endnote w:type="continuationSeparator" w:id="0">
    <w:p w14:paraId="50429FE4" w14:textId="77777777" w:rsidR="009B3987" w:rsidRDefault="009B3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40F6" w14:textId="77777777" w:rsidR="009B3987" w:rsidRDefault="009B3987">
      <w:pPr>
        <w:spacing w:after="0" w:line="240" w:lineRule="auto"/>
      </w:pPr>
      <w:r>
        <w:separator/>
      </w:r>
    </w:p>
  </w:footnote>
  <w:footnote w:type="continuationSeparator" w:id="0">
    <w:p w14:paraId="39963988" w14:textId="77777777" w:rsidR="009B3987" w:rsidRDefault="009B3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7A1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948483">
    <w:abstractNumId w:val="5"/>
  </w:num>
  <w:num w:numId="2" w16cid:durableId="1481579585">
    <w:abstractNumId w:val="0"/>
  </w:num>
  <w:num w:numId="3" w16cid:durableId="1665552856">
    <w:abstractNumId w:val="1"/>
  </w:num>
  <w:num w:numId="4" w16cid:durableId="1832479210">
    <w:abstractNumId w:val="2"/>
  </w:num>
  <w:num w:numId="5" w16cid:durableId="492915372">
    <w:abstractNumId w:val="3"/>
  </w:num>
  <w:num w:numId="6" w16cid:durableId="568347065">
    <w:abstractNumId w:val="4"/>
  </w:num>
  <w:num w:numId="7" w16cid:durableId="790440793">
    <w:abstractNumId w:val="6"/>
  </w:num>
  <w:num w:numId="8" w16cid:durableId="807748334">
    <w:abstractNumId w:val="8"/>
  </w:num>
  <w:num w:numId="9" w16cid:durableId="937445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15"/>
    <w:rsid w:val="0015074B"/>
    <w:rsid w:val="00153345"/>
    <w:rsid w:val="00196093"/>
    <w:rsid w:val="001B3BCF"/>
    <w:rsid w:val="001F3022"/>
    <w:rsid w:val="0029639D"/>
    <w:rsid w:val="00326F90"/>
    <w:rsid w:val="00412153"/>
    <w:rsid w:val="004C0D3E"/>
    <w:rsid w:val="00536BAE"/>
    <w:rsid w:val="00546255"/>
    <w:rsid w:val="005C2F7C"/>
    <w:rsid w:val="007608CE"/>
    <w:rsid w:val="00892C73"/>
    <w:rsid w:val="009B3987"/>
    <w:rsid w:val="00A047C9"/>
    <w:rsid w:val="00AA1D8D"/>
    <w:rsid w:val="00B47730"/>
    <w:rsid w:val="00BD2793"/>
    <w:rsid w:val="00C520E5"/>
    <w:rsid w:val="00CB0664"/>
    <w:rsid w:val="00CD0062"/>
    <w:rsid w:val="00E43CC7"/>
    <w:rsid w:val="00FC693F"/>
    <w:rsid w:val="00F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DDD8F"/>
  <w14:defaultImageDpi w14:val="300"/>
  <w15:docId w15:val="{F35B9744-19A0-4059-819B-F2B35CB3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ed7250-7b85-4a10-beb7-50ff9519e5d9" xsi:nil="true"/>
    <lcf76f155ced4ddcb4097134ff3c332f xmlns="954c9bf0-a890-487e-bbdd-a5c70269b17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8F7AB41FA607499B1773E9FEC32F43" ma:contentTypeVersion="11" ma:contentTypeDescription="Create a new document." ma:contentTypeScope="" ma:versionID="9e326847a924c4794ed6cf023d95735f">
  <xsd:schema xmlns:xsd="http://www.w3.org/2001/XMLSchema" xmlns:xs="http://www.w3.org/2001/XMLSchema" xmlns:p="http://schemas.microsoft.com/office/2006/metadata/properties" xmlns:ns2="954c9bf0-a890-487e-bbdd-a5c70269b177" xmlns:ns3="abed7250-7b85-4a10-beb7-50ff9519e5d9" targetNamespace="http://schemas.microsoft.com/office/2006/metadata/properties" ma:root="true" ma:fieldsID="4e349260880693c4e51601a370bae477" ns2:_="" ns3:_="">
    <xsd:import namespace="954c9bf0-a890-487e-bbdd-a5c70269b177"/>
    <xsd:import namespace="abed7250-7b85-4a10-beb7-50ff9519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c9bf0-a890-487e-bbdd-a5c70269b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d7250-7b85-4a10-beb7-50ff9519e5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e53778d-e04d-423f-9de1-0ec2e9eecc59}" ma:internalName="TaxCatchAll" ma:showField="CatchAllData" ma:web="abed7250-7b85-4a10-beb7-50ff9519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43653C-8AF6-4384-954D-229F10174B46}">
  <ds:schemaRefs>
    <ds:schemaRef ds:uri="http://schemas.microsoft.com/office/2006/metadata/properties"/>
    <ds:schemaRef ds:uri="http://schemas.microsoft.com/office/infopath/2007/PartnerControls"/>
    <ds:schemaRef ds:uri="abed7250-7b85-4a10-beb7-50ff9519e5d9"/>
    <ds:schemaRef ds:uri="954c9bf0-a890-487e-bbdd-a5c70269b177"/>
  </ds:schemaRefs>
</ds:datastoreItem>
</file>

<file path=customXml/itemProps2.xml><?xml version="1.0" encoding="utf-8"?>
<ds:datastoreItem xmlns:ds="http://schemas.openxmlformats.org/officeDocument/2006/customXml" ds:itemID="{BD13ECFA-001E-47BA-8B8D-1A9D7A83EB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F2D56F-3985-4D69-B6A3-E465D8286E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4c9bf0-a890-487e-bbdd-a5c70269b177"/>
    <ds:schemaRef ds:uri="abed7250-7b85-4a10-beb7-50ff9519e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W. Rabago</dc:creator>
  <cp:keywords/>
  <dc:description>generated by python-docx</dc:description>
  <cp:lastModifiedBy>John Michael Maala</cp:lastModifiedBy>
  <cp:revision>3</cp:revision>
  <dcterms:created xsi:type="dcterms:W3CDTF">2026-08-13T00:10:00Z</dcterms:created>
  <dcterms:modified xsi:type="dcterms:W3CDTF">2026-09-02T10:18:00Z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0x010100F88F7AB41FA607499B1773E9FEC32F43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