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oter8.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80"/>
        <w:ind w:left="284"/>
      </w:pPr>
      <w:r/>
      <w:bookmarkStart w:id="0" w:name="_Hlk533183272"/>
      <w:r/>
      <w:bookmarkEnd w:id="0"/>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8"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9"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74"/>
                            </w:pPr>
                            <w:r>
                              <w:t xml:space="preserve">Tema 10</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74"/>
                      </w:pPr>
                      <w:r>
                        <w:t xml:space="preserve">Tema 10</w:t>
                      </w:r>
                      <w:r/>
                    </w:p>
                  </w:txbxContent>
                </v:textbox>
              </v:shape>
            </w:pict>
          </mc:Fallback>
        </mc:AlternateContent>
      </w:r>
      <w:r/>
    </w:p>
    <w:p>
      <w:pPr>
        <w:sectPr>
          <w:footerReference w:type="first" r:id="rId8"/>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0"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5"/>
                            </w:pPr>
                            <w:r>
                              <w:t xml:space="preserve">La calidad del producto software: SQuaRE</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85"/>
                      </w:pPr>
                      <w:r>
                        <w:t xml:space="preserve">La calidad del producto software: SQuaRE</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1"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2"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4"/>
                              <w:tabs>
                                <w:tab w:val="left" w:pos="5529" w:leader="none"/>
                              </w:tabs>
                            </w:pPr>
                            <w:r>
                              <w:t xml:space="preserve">Ingeniería del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84"/>
                        <w:tabs>
                          <w:tab w:val="left" w:pos="5529" w:leader="none"/>
                        </w:tabs>
                      </w:pPr>
                      <w:r>
                        <w:t xml:space="preserve">Ingeniería del Software Avanzada</w:t>
                      </w:r>
                      <w:r/>
                    </w:p>
                  </w:txbxContent>
                </v:textbox>
              </v:shape>
            </w:pict>
          </mc:Fallback>
        </mc:AlternateContent>
      </w:r>
      <w:r/>
    </w:p>
    <w:p>
      <w:pPr>
        <w:pStyle w:val="486"/>
      </w:pPr>
      <w:r>
        <w:t xml:space="preserve">Índice</w:t>
      </w:r>
      <w:r/>
    </w:p>
    <w:p>
      <w:pPr>
        <w:pStyle w:val="495"/>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5214619" w:history="1">
        <w:r>
          <w:rPr>
            <w:rStyle w:val="475"/>
          </w:rPr>
          <w:t xml:space="preserve">Esquema</w:t>
        </w:r>
        <w:r>
          <w:tab/>
        </w:r>
        <w:r>
          <w:fldChar w:fldCharType="begin"/>
        </w:r>
        <w:r>
          <w:instrText xml:space="preserve"> PAGEREF _Toc535214619 \h </w:instrText>
        </w:r>
        <w:r/>
        <w:r>
          <w:fldChar w:fldCharType="separate"/>
        </w:r>
        <w:r>
          <w:t xml:space="preserve">3</w:t>
        </w:r>
        <w:r>
          <w:fldChar w:fldCharType="end"/>
        </w:r>
      </w:hyperlink>
      <w:r/>
      <w:r/>
    </w:p>
    <w:p>
      <w:pPr>
        <w:pStyle w:val="495"/>
        <w:rPr>
          <w:rFonts w:ascii="Calibri" w:hAnsi="Calibri" w:cs="Calibri" w:eastAsia="Calibri"/>
          <w:color w:val="auto"/>
          <w:sz w:val="22"/>
          <w:szCs w:val="22"/>
        </w:rPr>
      </w:pPr>
      <w:r/>
      <w:hyperlink w:tooltip="Current Document" w:anchor="_Toc535214620" w:history="1">
        <w:r>
          <w:rPr>
            <w:rStyle w:val="475"/>
          </w:rPr>
          <w:t xml:space="preserve">Ideas clave</w:t>
        </w:r>
        <w:r>
          <w:tab/>
        </w:r>
        <w:r>
          <w:fldChar w:fldCharType="begin"/>
        </w:r>
        <w:r>
          <w:instrText xml:space="preserve"> PAGEREF _Toc535214620 \h </w:instrText>
        </w:r>
        <w:r/>
        <w:r>
          <w:fldChar w:fldCharType="separate"/>
        </w:r>
        <w:r>
          <w:t xml:space="preserve">4</w:t>
        </w:r>
        <w:r>
          <w:fldChar w:fldCharType="end"/>
        </w:r>
      </w:hyperlink>
      <w:r/>
      <w:r/>
    </w:p>
    <w:p>
      <w:pPr>
        <w:pStyle w:val="496"/>
        <w:rPr>
          <w:rFonts w:ascii="Calibri" w:hAnsi="Calibri" w:cs="Calibri" w:eastAsia="Calibri"/>
          <w:color w:val="auto"/>
          <w:sz w:val="22"/>
          <w:szCs w:val="22"/>
        </w:rPr>
      </w:pPr>
      <w:r/>
      <w:hyperlink w:tooltip="Current Document" w:anchor="_Toc535214621" w:history="1">
        <w:r>
          <w:rPr>
            <w:rStyle w:val="475"/>
          </w:rPr>
          <w:t xml:space="preserve">10.1. Introducción y objetivos</w:t>
        </w:r>
        <w:r>
          <w:tab/>
        </w:r>
        <w:r>
          <w:fldChar w:fldCharType="begin"/>
        </w:r>
        <w:r>
          <w:instrText xml:space="preserve"> PAGEREF _Toc535214621 \h </w:instrText>
        </w:r>
        <w:r/>
        <w:r>
          <w:fldChar w:fldCharType="separate"/>
        </w:r>
        <w:r>
          <w:t xml:space="preserve">4</w:t>
        </w:r>
        <w:r>
          <w:fldChar w:fldCharType="end"/>
        </w:r>
      </w:hyperlink>
      <w:r/>
      <w:r/>
    </w:p>
    <w:p>
      <w:pPr>
        <w:pStyle w:val="496"/>
        <w:rPr>
          <w:rFonts w:ascii="Calibri" w:hAnsi="Calibri" w:cs="Calibri" w:eastAsia="Calibri"/>
          <w:color w:val="auto"/>
          <w:sz w:val="22"/>
          <w:szCs w:val="22"/>
        </w:rPr>
      </w:pPr>
      <w:r/>
      <w:hyperlink w:tooltip="Current Document" w:anchor="_Toc535214622" w:history="1">
        <w:r>
          <w:rPr>
            <w:rStyle w:val="475"/>
          </w:rPr>
          <w:t xml:space="preserve">10.2. La calidad del software</w:t>
        </w:r>
        <w:r>
          <w:tab/>
        </w:r>
        <w:r>
          <w:fldChar w:fldCharType="begin"/>
        </w:r>
        <w:r>
          <w:instrText xml:space="preserve"> PAGEREF _Toc535214622 \h </w:instrText>
        </w:r>
        <w:r/>
        <w:r>
          <w:fldChar w:fldCharType="separate"/>
        </w:r>
        <w:r>
          <w:t xml:space="preserve">5</w:t>
        </w:r>
        <w:r>
          <w:fldChar w:fldCharType="end"/>
        </w:r>
      </w:hyperlink>
      <w:r/>
      <w:r/>
    </w:p>
    <w:p>
      <w:pPr>
        <w:pStyle w:val="496"/>
        <w:rPr>
          <w:rFonts w:ascii="Calibri" w:hAnsi="Calibri" w:cs="Calibri" w:eastAsia="Calibri"/>
          <w:color w:val="auto"/>
          <w:sz w:val="22"/>
          <w:szCs w:val="22"/>
        </w:rPr>
      </w:pPr>
      <w:r/>
      <w:hyperlink w:tooltip="Current Document" w:anchor="_Toc535214623" w:history="1">
        <w:r>
          <w:rPr>
            <w:rStyle w:val="475"/>
          </w:rPr>
          <w:t xml:space="preserve">10.3. Modelos de calidad del producto software</w:t>
        </w:r>
        <w:r>
          <w:tab/>
        </w:r>
        <w:r>
          <w:fldChar w:fldCharType="begin"/>
        </w:r>
        <w:r>
          <w:instrText xml:space="preserve"> PAGEREF _Toc535214623 \h </w:instrText>
        </w:r>
        <w:r/>
        <w:r>
          <w:fldChar w:fldCharType="separate"/>
        </w:r>
        <w:r>
          <w:t xml:space="preserve">9</w:t>
        </w:r>
        <w:r>
          <w:fldChar w:fldCharType="end"/>
        </w:r>
      </w:hyperlink>
      <w:r/>
      <w:r/>
    </w:p>
    <w:p>
      <w:pPr>
        <w:pStyle w:val="496"/>
        <w:rPr>
          <w:rFonts w:ascii="Calibri" w:hAnsi="Calibri" w:cs="Calibri" w:eastAsia="Calibri"/>
          <w:color w:val="auto"/>
          <w:sz w:val="22"/>
          <w:szCs w:val="22"/>
        </w:rPr>
      </w:pPr>
      <w:r/>
      <w:hyperlink w:tooltip="Current Document" w:anchor="_Toc535214624" w:history="1">
        <w:r>
          <w:rPr>
            <w:rStyle w:val="475"/>
          </w:rPr>
          <w:t xml:space="preserve">10.4. Familia ISO/IEC 25000</w:t>
        </w:r>
        <w:r>
          <w:tab/>
        </w:r>
        <w:r>
          <w:fldChar w:fldCharType="begin"/>
        </w:r>
        <w:r>
          <w:instrText xml:space="preserve"> PAGEREF _Toc535214624 \h </w:instrText>
        </w:r>
        <w:r/>
        <w:r>
          <w:fldChar w:fldCharType="separate"/>
        </w:r>
        <w:r>
          <w:t xml:space="preserve">13</w:t>
        </w:r>
        <w:r>
          <w:fldChar w:fldCharType="end"/>
        </w:r>
      </w:hyperlink>
      <w:r/>
      <w:r/>
    </w:p>
    <w:p>
      <w:pPr>
        <w:pStyle w:val="496"/>
        <w:rPr>
          <w:rFonts w:ascii="Calibri" w:hAnsi="Calibri" w:cs="Calibri" w:eastAsia="Calibri"/>
          <w:color w:val="auto"/>
          <w:sz w:val="22"/>
          <w:szCs w:val="22"/>
        </w:rPr>
      </w:pPr>
      <w:r/>
      <w:hyperlink w:tooltip="Current Document" w:anchor="_Toc535214625" w:history="1">
        <w:r>
          <w:rPr>
            <w:rStyle w:val="475"/>
          </w:rPr>
          <w:t xml:space="preserve">10.5. ISO/IEC 25010: modelo y características de calidad</w:t>
        </w:r>
        <w:r>
          <w:tab/>
        </w:r>
        <w:r>
          <w:fldChar w:fldCharType="begin"/>
        </w:r>
        <w:r>
          <w:instrText xml:space="preserve"> PAGEREF _Toc535214625 \h </w:instrText>
        </w:r>
        <w:r/>
        <w:r>
          <w:fldChar w:fldCharType="separate"/>
        </w:r>
        <w:r>
          <w:t xml:space="preserve">17</w:t>
        </w:r>
        <w:r>
          <w:fldChar w:fldCharType="end"/>
        </w:r>
      </w:hyperlink>
      <w:r/>
      <w:r/>
    </w:p>
    <w:p>
      <w:pPr>
        <w:pStyle w:val="496"/>
        <w:rPr>
          <w:rFonts w:ascii="Calibri" w:hAnsi="Calibri" w:cs="Calibri" w:eastAsia="Calibri"/>
          <w:color w:val="auto"/>
          <w:sz w:val="22"/>
          <w:szCs w:val="22"/>
        </w:rPr>
      </w:pPr>
      <w:r/>
      <w:hyperlink w:tooltip="Current Document" w:anchor="_Toc535214626" w:history="1">
        <w:r>
          <w:rPr>
            <w:rStyle w:val="475"/>
          </w:rPr>
          <w:t xml:space="preserve">10.6. ISO/IEC 25012: la calidad de los datos</w:t>
        </w:r>
        <w:r>
          <w:tab/>
        </w:r>
        <w:r>
          <w:fldChar w:fldCharType="begin"/>
        </w:r>
        <w:r>
          <w:instrText xml:space="preserve"> PAGEREF _Toc535214626 \h </w:instrText>
        </w:r>
        <w:r/>
        <w:r>
          <w:fldChar w:fldCharType="separate"/>
        </w:r>
        <w:r>
          <w:t xml:space="preserve">24</w:t>
        </w:r>
        <w:r>
          <w:fldChar w:fldCharType="end"/>
        </w:r>
      </w:hyperlink>
      <w:r/>
      <w:r/>
    </w:p>
    <w:p>
      <w:pPr>
        <w:pStyle w:val="496"/>
        <w:rPr>
          <w:rFonts w:ascii="Calibri" w:hAnsi="Calibri" w:cs="Calibri" w:eastAsia="Calibri"/>
          <w:color w:val="auto"/>
          <w:sz w:val="22"/>
          <w:szCs w:val="22"/>
        </w:rPr>
      </w:pPr>
      <w:r/>
      <w:hyperlink w:tooltip="Current Document" w:anchor="_Toc535214627" w:history="1">
        <w:r>
          <w:rPr>
            <w:rStyle w:val="475"/>
          </w:rPr>
          <w:t xml:space="preserve">10.7. ISO/IEC 25020: medición de la calidad del software</w:t>
        </w:r>
        <w:r>
          <w:tab/>
        </w:r>
        <w:r>
          <w:fldChar w:fldCharType="begin"/>
        </w:r>
        <w:r>
          <w:instrText xml:space="preserve"> PAGEREF _Toc535214627 \h </w:instrText>
        </w:r>
        <w:r/>
        <w:r>
          <w:fldChar w:fldCharType="separate"/>
        </w:r>
        <w:r>
          <w:t xml:space="preserve">26</w:t>
        </w:r>
        <w:r>
          <w:fldChar w:fldCharType="end"/>
        </w:r>
      </w:hyperlink>
      <w:r/>
      <w:r/>
    </w:p>
    <w:p>
      <w:pPr>
        <w:pStyle w:val="496"/>
        <w:rPr>
          <w:rFonts w:ascii="Calibri" w:hAnsi="Calibri" w:cs="Calibri" w:eastAsia="Calibri"/>
          <w:color w:val="auto"/>
          <w:sz w:val="22"/>
          <w:szCs w:val="22"/>
        </w:rPr>
      </w:pPr>
      <w:r/>
      <w:hyperlink w:tooltip="Current Document" w:anchor="_Toc535214628" w:history="1">
        <w:r>
          <w:rPr>
            <w:rStyle w:val="475"/>
          </w:rPr>
          <w:t xml:space="preserve">10.8. ISO/IEC 25022, 25023 y 25024: métricas de calidad del software y de los datos</w:t>
        </w:r>
        <w:r>
          <w:tab/>
        </w:r>
        <w:r>
          <w:fldChar w:fldCharType="begin"/>
        </w:r>
        <w:r>
          <w:instrText xml:space="preserve"> PAGEREF _Toc535214628 \h </w:instrText>
        </w:r>
        <w:r/>
        <w:r>
          <w:fldChar w:fldCharType="separate"/>
        </w:r>
        <w:r>
          <w:t xml:space="preserve">27</w:t>
        </w:r>
        <w:r>
          <w:fldChar w:fldCharType="end"/>
        </w:r>
      </w:hyperlink>
      <w:r/>
      <w:r/>
    </w:p>
    <w:p>
      <w:pPr>
        <w:pStyle w:val="496"/>
        <w:rPr>
          <w:rFonts w:ascii="Calibri" w:hAnsi="Calibri" w:cs="Calibri" w:eastAsia="Calibri"/>
          <w:color w:val="auto"/>
          <w:sz w:val="22"/>
          <w:szCs w:val="22"/>
        </w:rPr>
      </w:pPr>
      <w:r/>
      <w:hyperlink w:tooltip="Current Document" w:anchor="_Toc535214629" w:history="1">
        <w:r>
          <w:rPr>
            <w:rStyle w:val="475"/>
          </w:rPr>
          <w:t xml:space="preserve">10.9. ISO/IEC 25040: evaluación del software</w:t>
        </w:r>
        <w:r>
          <w:tab/>
        </w:r>
        <w:r>
          <w:fldChar w:fldCharType="begin"/>
        </w:r>
        <w:r>
          <w:instrText xml:space="preserve"> PAGEREF _Toc535214629 \h </w:instrText>
        </w:r>
        <w:r/>
        <w:r>
          <w:fldChar w:fldCharType="separate"/>
        </w:r>
        <w:r>
          <w:t xml:space="preserve">31</w:t>
        </w:r>
        <w:r>
          <w:fldChar w:fldCharType="end"/>
        </w:r>
      </w:hyperlink>
      <w:r/>
      <w:r/>
    </w:p>
    <w:p>
      <w:pPr>
        <w:pStyle w:val="496"/>
        <w:rPr>
          <w:rFonts w:ascii="Calibri" w:hAnsi="Calibri" w:cs="Calibri" w:eastAsia="Calibri"/>
          <w:color w:val="auto"/>
          <w:sz w:val="22"/>
          <w:szCs w:val="22"/>
        </w:rPr>
      </w:pPr>
      <w:r/>
      <w:hyperlink w:tooltip="Current Document" w:anchor="_Toc535214630" w:history="1">
        <w:r>
          <w:rPr>
            <w:rStyle w:val="475"/>
          </w:rPr>
          <w:t xml:space="preserve">10.10. El proceso de certificación</w:t>
        </w:r>
        <w:r>
          <w:tab/>
        </w:r>
        <w:r>
          <w:fldChar w:fldCharType="begin"/>
        </w:r>
        <w:r>
          <w:instrText xml:space="preserve"> PAGEREF _Toc535214630 \h </w:instrText>
        </w:r>
        <w:r/>
        <w:r>
          <w:fldChar w:fldCharType="separate"/>
        </w:r>
        <w:r>
          <w:t xml:space="preserve">33</w:t>
        </w:r>
        <w:r>
          <w:fldChar w:fldCharType="end"/>
        </w:r>
      </w:hyperlink>
      <w:r/>
      <w:r/>
    </w:p>
    <w:p>
      <w:pPr>
        <w:pStyle w:val="496"/>
        <w:rPr>
          <w:rFonts w:ascii="Calibri" w:hAnsi="Calibri" w:cs="Calibri" w:eastAsia="Calibri"/>
          <w:color w:val="auto"/>
          <w:sz w:val="22"/>
          <w:szCs w:val="22"/>
        </w:rPr>
      </w:pPr>
      <w:r/>
      <w:hyperlink w:tooltip="Current Document" w:anchor="_Toc535214631" w:history="1">
        <w:r>
          <w:rPr>
            <w:rStyle w:val="475"/>
          </w:rPr>
          <w:t xml:space="preserve">10.11. Referencias bibliográficas</w:t>
        </w:r>
        <w:r>
          <w:tab/>
        </w:r>
        <w:r>
          <w:fldChar w:fldCharType="begin"/>
        </w:r>
        <w:r>
          <w:instrText xml:space="preserve"> PAGEREF _Toc535214631 \h </w:instrText>
        </w:r>
        <w:r/>
        <w:r>
          <w:fldChar w:fldCharType="separate"/>
        </w:r>
        <w:r>
          <w:t xml:space="preserve">36</w:t>
        </w:r>
        <w:r>
          <w:fldChar w:fldCharType="end"/>
        </w:r>
      </w:hyperlink>
      <w:r/>
      <w:r/>
    </w:p>
    <w:p>
      <w:pPr>
        <w:pStyle w:val="495"/>
        <w:rPr>
          <w:rFonts w:ascii="Calibri" w:hAnsi="Calibri" w:cs="Calibri" w:eastAsia="Calibri"/>
          <w:color w:val="auto"/>
          <w:sz w:val="22"/>
          <w:szCs w:val="22"/>
        </w:rPr>
      </w:pPr>
      <w:r/>
      <w:hyperlink w:tooltip="Current Document" w:anchor="_Toc535214632" w:history="1">
        <w:r>
          <w:rPr>
            <w:rStyle w:val="475"/>
          </w:rPr>
          <w:t xml:space="preserve">A fondo</w:t>
        </w:r>
        <w:r>
          <w:tab/>
        </w:r>
        <w:r>
          <w:fldChar w:fldCharType="begin"/>
        </w:r>
        <w:r>
          <w:instrText xml:space="preserve"> PAGEREF _Toc535214632 \h </w:instrText>
        </w:r>
        <w:r/>
        <w:r>
          <w:fldChar w:fldCharType="separate"/>
        </w:r>
        <w:r>
          <w:t xml:space="preserve">41</w:t>
        </w:r>
        <w:r>
          <w:fldChar w:fldCharType="end"/>
        </w:r>
      </w:hyperlink>
      <w:r/>
      <w:r/>
    </w:p>
    <w:p>
      <w:pPr>
        <w:pStyle w:val="495"/>
        <w:rPr>
          <w:rFonts w:ascii="Calibri" w:hAnsi="Calibri" w:cs="Calibri" w:eastAsia="Calibri"/>
          <w:color w:val="auto"/>
          <w:sz w:val="22"/>
          <w:szCs w:val="22"/>
        </w:rPr>
      </w:pPr>
      <w:r/>
      <w:hyperlink w:tooltip="Current Document" w:anchor="_Toc535214633" w:history="1">
        <w:r>
          <w:rPr>
            <w:rStyle w:val="475"/>
          </w:rPr>
          <w:t xml:space="preserve">Test</w:t>
        </w:r>
        <w:r>
          <w:tab/>
        </w:r>
        <w:r>
          <w:fldChar w:fldCharType="begin"/>
        </w:r>
        <w:r>
          <w:instrText xml:space="preserve"> PAGEREF _Toc535214633 \h </w:instrText>
        </w:r>
        <w:r/>
        <w:r>
          <w:fldChar w:fldCharType="separate"/>
        </w:r>
        <w:r>
          <w:t xml:space="preserve">44</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9"/>
          <w:footnotePr/>
          <w:type w:val="nextPage"/>
          <w:pgSz w:w="11906" w:h="16838" w:orient="portrait"/>
          <w:pgMar w:top="1349" w:right="1843" w:bottom="249" w:left="4253" w:header="1134" w:footer="0"/>
          <w:cols w:num="1" w:sep="0" w:space="708" w:equalWidth="1"/>
          <w:docGrid w:linePitch="360"/>
          <w:titlePg/>
        </w:sectPr>
      </w:pPr>
      <w:r/>
      <w:r/>
    </w:p>
    <w:p>
      <w:pPr>
        <w:pStyle w:val="487"/>
      </w:pPr>
      <w:r/>
      <w:bookmarkStart w:id="1" w:name="_Toc535214619"/>
      <w:r/>
      <w:bookmarkStart w:id="2"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3"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3" w:name="_Toc505009740"/>
      <w:r>
        <w:t xml:space="preserve">Esquema</w:t>
      </w:r>
      <w:bookmarkEnd w:id="1"/>
      <w:r/>
      <w:bookmarkEnd w:id="3"/>
      <w:r/>
      <w:r/>
    </w:p>
    <w:p>
      <w:pPr>
        <w:tabs>
          <w:tab w:val="left" w:pos="3441" w:leader="none"/>
        </w:tabs>
      </w:pPr>
      <w:r>
        <w:tab/>
      </w:r>
      <w:r>
        <mc:AlternateContent>
          <mc:Choice Requires="wpg">
            <w:drawing>
              <wp:inline xmlns:wp="http://schemas.openxmlformats.org/drawingml/2006/wordprocessingDrawing" distT="0" distB="0" distL="0" distR="0">
                <wp:extent cx="5450205" cy="4511675"/>
                <wp:effectExtent l="0" t="0" r="0" b="3175"/>
                <wp:docPr id="24"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hidden="0"/>
                        <pic:cNvPicPr>
                          <a:picLocks noChangeAspect="1"/>
                        </pic:cNvPicPr>
                      </pic:nvPicPr>
                      <pic:blipFill>
                        <a:blip r:embed="rId16"/>
                        <a:stretch/>
                      </pic:blipFill>
                      <pic:spPr bwMode="auto">
                        <a:xfrm>
                          <a:off x="0" y="0"/>
                          <a:ext cx="5450205" cy="451167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9.1pt;height:355.2pt;" stroked="false">
                <v:path textboxrect="0,0,0,0"/>
                <v:imagedata r:id="rId16" o:title=""/>
              </v:shape>
            </w:pict>
          </mc:Fallback>
        </mc:AlternateContent>
      </w:r>
      <w:r/>
    </w:p>
    <w:p>
      <w:pPr>
        <w:tabs>
          <w:tab w:val="left" w:pos="3441" w:leader="none"/>
        </w:tabs>
        <w:sectPr>
          <w:footerReference w:type="default" r:id="rId10"/>
          <w:footerReference w:type="first" r:id="rId11"/>
          <w:footnotePr/>
          <w:type w:val="nextPage"/>
          <w:pgSz w:w="11906" w:h="16838" w:orient="portrait"/>
          <w:pgMar w:top="1418" w:right="1843" w:bottom="1418" w:left="1843" w:header="1134" w:footer="397"/>
          <w:cols w:num="1" w:sep="0" w:space="708" w:equalWidth="1"/>
          <w:docGrid w:linePitch="360"/>
        </w:sectPr>
      </w:pPr>
      <w:r>
        <w:tab/>
      </w:r>
      <w:r/>
    </w:p>
    <w:p>
      <w:pPr>
        <w:pStyle w:val="487"/>
      </w:pPr>
      <w:r/>
      <w:bookmarkStart w:id="4" w:name="_Toc535214620"/>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5"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4"/>
      <w:r/>
      <w:r/>
    </w:p>
    <w:p>
      <w:pPr>
        <w:pStyle w:val="488"/>
      </w:pPr>
      <w:r/>
      <w:bookmarkStart w:id="5" w:name="_Toc535214621"/>
      <w:r>
        <w:t xml:space="preserve">1</w:t>
      </w:r>
      <w:r>
        <w:t xml:space="preserve">0</w:t>
      </w:r>
      <w:r>
        <w:t xml:space="preserve">.</w:t>
      </w:r>
      <w:r>
        <w:t xml:space="preserve">1. </w:t>
      </w:r>
      <w:bookmarkEnd w:id="2"/>
      <w:r>
        <w:t xml:space="preserve">Introducción y objetivos</w:t>
      </w:r>
      <w:bookmarkEnd w:id="5"/>
      <w:r/>
      <w:r/>
    </w:p>
    <w:p>
      <w:r/>
      <w:r/>
    </w:p>
    <w:p>
      <w:r>
        <w:t xml:space="preserve">El concepto de </w:t>
      </w:r>
      <w:r>
        <w:rPr>
          <w:b/>
        </w:rPr>
        <w:t xml:space="preserve">calidad del software</w:t>
      </w:r>
      <w:r>
        <w:t xml:space="preserve"> es más complejo de lo que puede parecer a primera vista.  Se trata de un concepto abstracto (XBOSOFT, 2018), cuya presencia es difícil de definir, pero su ausencia es fácilmente detectable. </w:t>
      </w:r>
      <w:r/>
    </w:p>
    <w:p>
      <w:r/>
      <w:r/>
    </w:p>
    <w:p>
      <w:r>
        <w:t xml:space="preserve">Existen </w:t>
      </w:r>
      <w:r>
        <w:rPr>
          <w:i/>
        </w:rPr>
        <w:t xml:space="preserve">frameworks</w:t>
      </w:r>
      <w:r>
        <w:t xml:space="preserve"> y modelos que ayudan a determinar el conjunto de características y parámetros que es necesario evaluar desde diferentes puntos de vista. En este tema analizaremos el conjunto de </w:t>
      </w:r>
      <w:r>
        <w:rPr>
          <w:b/>
        </w:rPr>
        <w:t xml:space="preserve">normas de la familia ISO/IEC 25000 </w:t>
      </w:r>
      <w:r>
        <w:t xml:space="preserve">que pretenden ayudar y guiar en este sentido.</w:t>
      </w:r>
      <w:r/>
    </w:p>
    <w:p>
      <w:r/>
      <w:r/>
    </w:p>
    <w:p>
      <w:r>
        <w:t xml:space="preserve">Mediante el estudio de este tema alcanzaremos los siguientes objetivos: </w:t>
      </w:r>
      <w:r/>
    </w:p>
    <w:p>
      <w:r/>
      <w:r/>
    </w:p>
    <w:p>
      <w:pPr>
        <w:pStyle w:val="480"/>
        <w:numPr>
          <w:ilvl w:val="0"/>
          <w:numId w:val="25"/>
        </w:numPr>
      </w:pPr>
      <w:r>
        <w:rPr>
          <w:b/>
        </w:rPr>
        <w:t xml:space="preserve">Analizar el concepto de calidad de software </w:t>
      </w:r>
      <w:r>
        <w:t xml:space="preserve">y los elementos que la condicionan.</w:t>
      </w:r>
      <w:r/>
    </w:p>
    <w:p>
      <w:pPr>
        <w:pStyle w:val="480"/>
        <w:numPr>
          <w:ilvl w:val="0"/>
          <w:numId w:val="25"/>
        </w:numPr>
      </w:pPr>
      <w:r>
        <w:rPr>
          <w:b/>
        </w:rPr>
        <w:t xml:space="preserve">Conocer los tres enfoques generales para analizar la calidad de un producto</w:t>
      </w:r>
      <w:r>
        <w:t xml:space="preserve">, desde el punto de vista interno, externo</w:t>
      </w:r>
      <w:r>
        <w:t xml:space="preserve"> </w:t>
      </w:r>
      <w:r>
        <w:t xml:space="preserve">y en uso, y su relación con la calidad del proceso. </w:t>
      </w:r>
      <w:r/>
    </w:p>
    <w:p>
      <w:pPr>
        <w:pStyle w:val="480"/>
        <w:numPr>
          <w:ilvl w:val="0"/>
          <w:numId w:val="25"/>
        </w:numPr>
      </w:pPr>
      <w:r>
        <w:rPr>
          <w:b/>
        </w:rPr>
        <w:t xml:space="preserve">Conocer los elementos que definen</w:t>
      </w:r>
      <w:r>
        <w:rPr>
          <w:b/>
        </w:rPr>
        <w:t xml:space="preserve">,</w:t>
      </w:r>
      <w:r>
        <w:rPr>
          <w:b/>
        </w:rPr>
        <w:t xml:space="preserve"> generalmente</w:t>
      </w:r>
      <w:r>
        <w:rPr>
          <w:b/>
        </w:rPr>
        <w:t xml:space="preserve">,</w:t>
      </w:r>
      <w:r>
        <w:rPr>
          <w:b/>
        </w:rPr>
        <w:t xml:space="preserve"> los modelos </w:t>
      </w:r>
      <w:r>
        <w:t xml:space="preserve">de calidad de software y su clasificación. </w:t>
      </w:r>
      <w:r/>
    </w:p>
    <w:p>
      <w:pPr>
        <w:pStyle w:val="480"/>
        <w:numPr>
          <w:ilvl w:val="0"/>
          <w:numId w:val="25"/>
        </w:numPr>
      </w:pPr>
      <w:r>
        <w:rPr>
          <w:b/>
        </w:rPr>
        <w:t xml:space="preserve">Analizar el conjunto de normas de la familia ISO/IEC 25000</w:t>
      </w:r>
      <w:r>
        <w:t xml:space="preserve"> y sus elementos principales.</w:t>
      </w:r>
      <w:r/>
    </w:p>
    <w:p>
      <w:pPr>
        <w:pStyle w:val="480"/>
        <w:numPr>
          <w:ilvl w:val="0"/>
          <w:numId w:val="25"/>
        </w:numPr>
      </w:pPr>
      <w:r>
        <w:rPr>
          <w:b/>
        </w:rPr>
        <w:t xml:space="preserve">Conocer las fases del proceso de certificación de la calidad del software</w:t>
      </w:r>
      <w:r>
        <w:t xml:space="preserve"> según ISO/IEC 25000 y los actores que intervienen.</w:t>
      </w:r>
      <w:r/>
    </w:p>
    <w:p>
      <w:pPr>
        <w:sectPr>
          <w:footerReference w:type="default" r:id="rId12"/>
          <w:footnotePr/>
          <w:type w:val="nextPage"/>
          <w:pgSz w:w="11906" w:h="16838" w:orient="portrait"/>
          <w:pgMar w:top="1418" w:right="1843" w:bottom="1418" w:left="1843" w:header="1134" w:footer="397"/>
          <w:cols w:num="1" w:sep="0" w:space="708" w:equalWidth="1"/>
          <w:docGrid w:linePitch="360"/>
        </w:sectPr>
      </w:pPr>
      <w:r/>
      <w:r/>
    </w:p>
    <w:p>
      <w:pPr>
        <w:pStyle w:val="488"/>
      </w:pPr>
      <w:r/>
      <w:bookmarkStart w:id="6" w:name="_Toc535214622"/>
      <w:r>
        <w:t xml:space="preserve">10.2. La calidad del software</w:t>
      </w:r>
      <w:bookmarkEnd w:id="6"/>
      <w:r/>
      <w:r/>
    </w:p>
    <w:p>
      <w:r/>
      <w:r/>
    </w:p>
    <w:p>
      <w:r>
        <w:t xml:space="preserve">Según la </w:t>
      </w:r>
      <w:r>
        <w:rPr>
          <w:b/>
        </w:rPr>
        <w:t xml:space="preserve">Real Academia Española de la Lengua</w:t>
      </w:r>
      <w:r>
        <w:t xml:space="preserve">, la </w:t>
      </w:r>
      <w:r>
        <w:rPr>
          <w:b/>
        </w:rPr>
        <w:t xml:space="preserve">calidad</w:t>
      </w:r>
      <w:r>
        <w:t xml:space="preserve"> es la </w:t>
      </w:r>
      <w:r>
        <w:t xml:space="preserve">«</w:t>
      </w:r>
      <w:r>
        <w:t xml:space="preserve">propiedad, o conjunto de propiedades inherentes a algo, que permiten juzgar su valor</w:t>
      </w:r>
      <w:r>
        <w:t xml:space="preserve">»</w:t>
      </w:r>
      <w:r>
        <w:t xml:space="preserve"> (RAE, 2018). </w:t>
      </w:r>
      <w:r/>
    </w:p>
    <w:p>
      <w:r/>
      <w:r/>
    </w:p>
    <w:p>
      <w:r>
        <w:t xml:space="preserve">Una definición más técnica contenida en la </w:t>
      </w:r>
      <w:r>
        <w:rPr>
          <w:b/>
        </w:rPr>
        <w:t xml:space="preserve">norma ISO 9000:2005</w:t>
      </w:r>
      <w:r>
        <w:t xml:space="preserve"> nos dice que se trata del </w:t>
      </w:r>
      <w:r>
        <w:t xml:space="preserve">«</w:t>
      </w:r>
      <w:r>
        <w:t xml:space="preserve">grado en que un conjunto de características inherentes de un objeto cumple con sus requisitos</w:t>
      </w:r>
      <w:r>
        <w:t xml:space="preserve">»</w:t>
      </w:r>
      <w:r>
        <w:t xml:space="preserve"> (ISO, 2015). El hecho de que las características sean </w:t>
      </w:r>
      <w:r>
        <w:t xml:space="preserve">«</w:t>
      </w:r>
      <w:r>
        <w:t xml:space="preserve">inherentes</w:t>
      </w:r>
      <w:r>
        <w:t xml:space="preserve">»</w:t>
      </w:r>
      <w:r>
        <w:t xml:space="preserve"> implica que existen </w:t>
      </w:r>
      <w:r>
        <w:rPr>
          <w:i/>
        </w:rPr>
        <w:t xml:space="preserve">de facto</w:t>
      </w:r>
      <w:r>
        <w:t xml:space="preserve"> en el objeto, y por tanto pueden ser medidas, mientras que un requisito es una </w:t>
      </w:r>
      <w:r>
        <w:t xml:space="preserve">«</w:t>
      </w:r>
      <w:r>
        <w:t xml:space="preserve">necesidad o expectativa que se declara sobre ese objeto</w:t>
      </w:r>
      <w:r>
        <w:t xml:space="preserve">»</w:t>
      </w:r>
      <w:r>
        <w:t xml:space="preserve">, generalmente con carácter obligatorio.</w:t>
      </w:r>
      <w:r/>
    </w:p>
    <w:p>
      <w:r/>
      <w:r/>
    </w:p>
    <w:p>
      <w:r>
        <w:t xml:space="preserve">Cuando hablamos de la </w:t>
      </w:r>
      <w:r>
        <w:rPr>
          <w:b/>
        </w:rPr>
        <w:t xml:space="preserve">calidad del producto software</w:t>
      </w:r>
      <w:r>
        <w:t xml:space="preserve">, o calidad </w:t>
      </w:r>
      <w:r>
        <w:t xml:space="preserve">d</w:t>
      </w:r>
      <w:r>
        <w:t xml:space="preserve">el software, la norma </w:t>
      </w:r>
      <w:r>
        <w:rPr>
          <w:b/>
        </w:rPr>
        <w:t xml:space="preserve">ISO/IEC 25000:2014 </w:t>
      </w:r>
      <w:r>
        <w:t xml:space="preserve">indica que </w:t>
      </w:r>
      <w:r>
        <w:t xml:space="preserve">es la «</w:t>
      </w:r>
      <w:r>
        <w:t xml:space="preserve">capacidad del producto software para satisfacer las necesidades expresadas o implícitas, cuando se utiliza en condiciones específicas</w:t>
      </w:r>
      <w:r>
        <w:t xml:space="preserve">»</w:t>
      </w:r>
      <w:r>
        <w:t xml:space="preserve"> (ISO, 2014a). Vemos</w:t>
      </w:r>
      <w:r>
        <w:t xml:space="preserve">,</w:t>
      </w:r>
      <w:r>
        <w:t xml:space="preserve"> por tanto</w:t>
      </w:r>
      <w:r>
        <w:t xml:space="preserve">,</w:t>
      </w:r>
      <w:r>
        <w:t xml:space="preserve"> que </w:t>
      </w:r>
      <w:r>
        <w:rPr>
          <w:b/>
        </w:rPr>
        <w:t xml:space="preserve">la calidad depende de los atributos del objeto</w:t>
      </w:r>
      <w:r>
        <w:t xml:space="preserve">, que deben ser observables, y siempre está relacionada con las </w:t>
      </w:r>
      <w:r>
        <w:rPr>
          <w:b/>
        </w:rPr>
        <w:t xml:space="preserve">expectativas del usuario y unas condiciones de utilización concretas</w:t>
      </w:r>
      <w:r>
        <w:t xml:space="preserve">. Estas necesidades o expectativas son precisamente los requisitos del producto. </w:t>
      </w:r>
      <w:r/>
    </w:p>
    <w:p>
      <w:r/>
      <w:r/>
    </w:p>
    <w:p>
      <w:r>
        <w:rPr>
          <w:b/>
        </w:rPr>
        <w:t xml:space="preserve">Es más fácil identificar los sistemas de baja calidad</w:t>
      </w:r>
      <w:r>
        <w:rPr>
          <w:b/>
        </w:rPr>
        <w:t xml:space="preserve">,</w:t>
      </w:r>
      <w:r>
        <w:t xml:space="preserve"> como aquellos que no cumplen la función que se espera de ellos, que no se utilizan porque resultan demasiado complejos, o que no pueden mantenerse cuando el equipo que lo desarrolló desaparece. Por el contrario, </w:t>
      </w:r>
      <w:r>
        <w:rPr>
          <w:b/>
        </w:rPr>
        <w:t xml:space="preserve">la identificación de la calidad es más compleja</w:t>
      </w:r>
      <w:r>
        <w:t xml:space="preserve">, pues precisa de la definición de métricas concretas que permitan evaluar en qué medida las expectativas sobre el producto son alcanzadas.</w:t>
      </w:r>
      <w:r/>
    </w:p>
    <w:p>
      <w:r/>
      <w:r/>
    </w:p>
    <w:p>
      <w:r>
        <w:t xml:space="preserve">En la norma </w:t>
      </w:r>
      <w:r>
        <w:rPr>
          <w:b/>
        </w:rPr>
        <w:t xml:space="preserve">ISO/IEC 25010 </w:t>
      </w:r>
      <w:r>
        <w:t xml:space="preserve">s</w:t>
      </w:r>
      <w:r>
        <w:t xml:space="preserve">e presentan </w:t>
      </w:r>
      <w:r>
        <w:rPr>
          <w:b/>
        </w:rPr>
        <w:t xml:space="preserve">tres enfoques del concepto de calidad </w:t>
      </w:r>
      <w:r>
        <w:t xml:space="preserve">que se relacionan en un ciclo de vida de calidad, de manera que cada nivel tiene influencia en los siguientes, como se observa en la </w:t>
      </w:r>
      <w:r>
        <w:t xml:space="preserve">f</w:t>
      </w:r>
      <w:r>
        <w:t xml:space="preserve">igura 1. Mientras que la calidad del propio </w:t>
      </w:r>
      <w:r>
        <w:t xml:space="preserve">proceso de desarrollo influ</w:t>
      </w:r>
      <w:r>
        <w:t xml:space="preserve">ye</w:t>
      </w:r>
      <w:r>
        <w:t xml:space="preserve"> claramente los atributos internos y externos del producto, estos tienen un impacto final en las características del producto</w:t>
      </w:r>
      <w:r>
        <w:t xml:space="preserve">,</w:t>
      </w:r>
      <w:r>
        <w:t xml:space="preserve"> una vez que es utilizado en diferentes contextos de operación.</w:t>
      </w:r>
      <w:r/>
    </w:p>
    <w:p>
      <w:pPr>
        <w:rPr>
          <w:rFonts w:cs="UnitOT-Light"/>
          <w:szCs w:val="22"/>
        </w:rPr>
      </w:pPr>
      <w:r>
        <w:rPr>
          <w:rFonts w:cs="UnitOT-Light"/>
          <w:szCs w:val="22"/>
        </w:rPr>
      </w:r>
      <w:r/>
    </w:p>
    <w:p>
      <w:pPr>
        <w:pStyle w:val="489"/>
      </w:pPr>
      <w:r>
        <mc:AlternateContent>
          <mc:Choice Requires="wpg">
            <w:drawing>
              <wp:inline xmlns:wp="http://schemas.openxmlformats.org/drawingml/2006/wordprocessingDrawing" distT="0" distB="0" distL="0" distR="0">
                <wp:extent cx="5219700" cy="1929765"/>
                <wp:effectExtent l="0" t="0" r="0" b="0"/>
                <wp:docPr id="26"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g1.png" hidden="0"/>
                        <pic:cNvPicPr>
                          <a:picLocks noChangeAspect="1"/>
                        </pic:cNvPicPr>
                      </pic:nvPicPr>
                      <pic:blipFill>
                        <a:blip r:embed="rId17"/>
                        <a:stretch/>
                      </pic:blipFill>
                      <pic:spPr bwMode="auto">
                        <a:xfrm>
                          <a:off x="0" y="0"/>
                          <a:ext cx="5219700" cy="1929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11.0pt;height:151.9pt;" stroked="false">
                <v:path textboxrect="0,0,0,0"/>
                <v:imagedata r:id="rId17" o:title=""/>
              </v:shape>
            </w:pict>
          </mc:Fallback>
        </mc:AlternateContent>
      </w:r>
      <w:r/>
    </w:p>
    <w:p>
      <w:pPr>
        <w:pStyle w:val="478"/>
      </w:pPr>
      <w:r/>
      <w:bookmarkStart w:id="7" w:name="_Ref528431081"/>
      <w:r>
        <w:t xml:space="preserve">Figura </w:t>
      </w:r>
      <w:r>
        <w:fldChar w:fldCharType="begin"/>
      </w:r>
      <w:r>
        <w:instrText xml:space="preserve"> SEQ Figura \* ARABIC </w:instrText>
      </w:r>
      <w:r>
        <w:fldChar w:fldCharType="separate"/>
      </w:r>
      <w:r>
        <w:t xml:space="preserve">1</w:t>
      </w:r>
      <w:r>
        <w:fldChar w:fldCharType="end"/>
      </w:r>
      <w:bookmarkEnd w:id="7"/>
      <w:r>
        <w:t xml:space="preserve">. Relación entre la calidad del proceso, la calidad inte</w:t>
      </w:r>
      <w:r>
        <w:t xml:space="preserve">rna, la calidad externa y la calidad en uso del producto software. Mientras que los tres primeros elementos son controlables por el proveedor o fabricante del producto, la calidad en uso depende de la percepción que el usuario tiene durante su utilización.</w:t>
      </w:r>
      <w:r>
        <w:br/>
        <w:t xml:space="preserve">Fuente: Norma ISO/IEC 9126</w:t>
      </w:r>
      <w:r/>
    </w:p>
    <w:p>
      <w:r/>
      <w:r/>
    </w:p>
    <w:p>
      <w:r>
        <w:t xml:space="preserve">Del mismo modo, las metas que se fijen para los atributos de calidad del producto van a determinar las metas fijadas y las características deseadas para el proceso de desarrollo que dará como resultado ese producto con ese nivel de calidad exigido.</w:t>
      </w:r>
      <w:r/>
    </w:p>
    <w:p>
      <w:r/>
      <w:r/>
    </w:p>
    <w:p>
      <w:pPr>
        <w:pStyle w:val="480"/>
        <w:numPr>
          <w:ilvl w:val="0"/>
          <w:numId w:val="26"/>
        </w:numPr>
      </w:pPr>
      <w:r>
        <w:rPr>
          <w:b/>
        </w:rPr>
        <w:t xml:space="preserve">Calidad interna</w:t>
      </w:r>
      <w:r>
        <w:t xml:space="preserve">: es observable a partir de características intrínsecas del propio producto, como el código fuente. Aquí encontramos atributos como la estructura del código, la mantenibilidad, complejidad, acoplamiento, escalabilidad o reusabilidad. Todos estos aspectos s</w:t>
      </w:r>
      <w:r>
        <w:t xml:space="preserve">o</w:t>
      </w:r>
      <w:r>
        <w:t xml:space="preserve">lo pueden ser evaluados mediante inspecciones y pruebas estáticas del software, analizando la propia estructura del código fuente, sus componentes y el diseño y arquitectura del sistema.</w:t>
      </w:r>
      <w:r/>
    </w:p>
    <w:p>
      <w:pPr>
        <w:pStyle w:val="480"/>
        <w:ind w:left="284"/>
      </w:pPr>
      <w:r/>
      <w:r/>
    </w:p>
    <w:p>
      <w:pPr>
        <w:pStyle w:val="480"/>
        <w:numPr>
          <w:ilvl w:val="0"/>
          <w:numId w:val="26"/>
        </w:numPr>
      </w:pPr>
      <w:r>
        <w:rPr>
          <w:b/>
        </w:rPr>
        <w:t xml:space="preserve">Calidad externa</w:t>
      </w:r>
      <w:r>
        <w:t xml:space="preserve">: es observable a partir del comportamiento del producto y puede ser evaluada mediante prueb</w:t>
      </w:r>
      <w:r>
        <w:t xml:space="preserve">as de software. Encontramos aspectos como la corrección, eficiencia y costes de mantenimiento. Aquí es donde las pruebas de software tienen utilidad, pues permiten ejecutar el producto y comprobar si se verifican determinados requisitos de calidad externa.</w:t>
      </w:r>
      <w:r/>
    </w:p>
    <w:p>
      <w:pPr>
        <w:pStyle w:val="480"/>
        <w:numPr>
          <w:ilvl w:val="0"/>
          <w:numId w:val="26"/>
        </w:numPr>
      </w:pPr>
      <w:r>
        <w:rPr>
          <w:b/>
        </w:rPr>
        <w:t xml:space="preserve">Calidad en uso</w:t>
      </w:r>
      <w:r>
        <w:t xml:space="preserve">: es observable durante la utilización del producto por parte del usuario, en un entorno de pruebas o de producción.</w:t>
      </w:r>
      <w:r/>
    </w:p>
    <w:p>
      <w:pPr>
        <w:pStyle w:val="480"/>
        <w:ind w:left="284"/>
      </w:pPr>
      <w:r/>
      <w:r/>
    </w:p>
    <w:p>
      <w:pPr>
        <w:pStyle w:val="489"/>
      </w:pPr>
      <w:r>
        <w:t xml:space="preserve">Cuando construimos software, </w:t>
      </w:r>
      <w:r/>
    </w:p>
    <w:p>
      <w:pPr>
        <w:pStyle w:val="489"/>
      </w:pPr>
      <w:r>
        <w:t xml:space="preserve">intentamos que la mejora del proceso repercuta en la calidad interna, </w:t>
      </w:r>
      <w:r/>
    </w:p>
    <w:p>
      <w:pPr>
        <w:pStyle w:val="489"/>
      </w:pPr>
      <w:r>
        <w:t xml:space="preserve">que esta</w:t>
      </w:r>
      <w:r>
        <w:t xml:space="preserve">,</w:t>
      </w:r>
      <w:r>
        <w:t xml:space="preserve"> a su vez</w:t>
      </w:r>
      <w:r>
        <w:t xml:space="preserve">,</w:t>
      </w:r>
      <w:r>
        <w:t xml:space="preserve"> lo haga en la calidad externa y que</w:t>
      </w:r>
      <w:r>
        <w:t xml:space="preserve">,</w:t>
      </w:r>
      <w:r>
        <w:t xml:space="preserve"> finalmente</w:t>
      </w:r>
      <w:r>
        <w:t xml:space="preserve">,</w:t>
      </w:r>
      <w:r>
        <w:t xml:space="preserve"> la calidad en uso para cada uno de los contextos de uso sea buena. </w:t>
      </w:r>
      <w:r/>
    </w:p>
    <w:p>
      <w:r/>
      <w:r/>
    </w:p>
    <w:p>
      <w:r>
        <w:t xml:space="preserve">Las dos primeras categorías son las que</w:t>
      </w:r>
      <w:r>
        <w:t xml:space="preserve">, </w:t>
      </w:r>
      <w:r>
        <w:t xml:space="preserve">de alguna manera</w:t>
      </w:r>
      <w:r>
        <w:t xml:space="preserve">,</w:t>
      </w:r>
      <w:r>
        <w:t xml:space="preserve"> puede evaluar directamente el fabricante, sin la intervención del usuario. </w:t>
      </w:r>
      <w:r/>
    </w:p>
    <w:p>
      <w:r/>
      <w:r/>
    </w:p>
    <w:p>
      <w:r>
        <w:t xml:space="preserve">Sin embargo, nos encontramos con un dilema que viene representado por el </w:t>
      </w:r>
      <w:r>
        <w:rPr>
          <w:b/>
        </w:rPr>
        <w:t xml:space="preserve">«</w:t>
      </w:r>
      <w:r>
        <w:rPr>
          <w:b/>
        </w:rPr>
        <w:t xml:space="preserve">iceberg de la calidad del software</w:t>
      </w:r>
      <w:r>
        <w:rPr>
          <w:b/>
        </w:rPr>
        <w:t xml:space="preserve">»</w:t>
      </w:r>
      <w:r>
        <w:rPr>
          <w:b/>
        </w:rPr>
        <w:t xml:space="preserve">,</w:t>
      </w:r>
      <w:r>
        <w:t xml:space="preserve"> representado en la </w:t>
      </w:r>
      <w:r>
        <w:t xml:space="preserve">f</w:t>
      </w:r>
      <w:r>
        <w:t xml:space="preserve">igura 2, que marca una clara diferencia entre las pruebas del software (</w:t>
      </w:r>
      <w:r>
        <w:rPr>
          <w:i/>
        </w:rPr>
        <w:t xml:space="preserve">software </w:t>
      </w:r>
      <w:r>
        <w:rPr>
          <w:i/>
        </w:rPr>
        <w:t xml:space="preserve">testing</w:t>
      </w:r>
      <w:r>
        <w:t xml:space="preserve">) y el aseguramiento de la calidad (</w:t>
      </w:r>
      <w:r>
        <w:rPr>
          <w:i/>
        </w:rPr>
        <w:t xml:space="preserve">quallity</w:t>
      </w:r>
      <w:r>
        <w:rPr>
          <w:i/>
        </w:rPr>
        <w:t xml:space="preserve"> </w:t>
      </w:r>
      <w:r>
        <w:rPr>
          <w:i/>
        </w:rPr>
        <w:t xml:space="preserve">assurance</w:t>
      </w:r>
      <w:r>
        <w:t xml:space="preserve">), o entre lo </w:t>
      </w:r>
      <w:r>
        <w:t xml:space="preserve">«</w:t>
      </w:r>
      <w:r>
        <w:t xml:space="preserve">visible</w:t>
      </w:r>
      <w:r>
        <w:t xml:space="preserve">»</w:t>
      </w:r>
      <w:r>
        <w:t xml:space="preserve"> y lo </w:t>
      </w:r>
      <w:r>
        <w:t xml:space="preserve">«</w:t>
      </w:r>
      <w:r>
        <w:t xml:space="preserve">invisible</w:t>
      </w:r>
      <w:r>
        <w:t xml:space="preserve">»</w:t>
      </w:r>
      <w:r>
        <w:t xml:space="preserve"> (Bloom, 2011). </w:t>
      </w:r>
      <w:r/>
    </w:p>
    <w:p>
      <w:r/>
      <w:r/>
    </w:p>
    <w:p>
      <w:r>
        <w:t xml:space="preserve">Mientras que las pruebas tradicionales están dirigidas a verificar la calidad del software desde el punto de vista de su funcionamiento, muchas veces </w:t>
      </w:r>
      <w:r>
        <w:t xml:space="preserve">solo</w:t>
      </w:r>
      <w:r>
        <w:t xml:space="preserve"> pueden llegar a determinar la presencia de errores, o ausencia de calidad, pero no a garantizar un software libre de errores, o a detectar posibles causas más profundas relacionadas con atributos de calidad interna.</w:t>
      </w:r>
      <w:r/>
    </w:p>
    <w:p>
      <w:pPr>
        <w:rPr>
          <w:rFonts w:cs="UnitOT-Light"/>
          <w:iCs/>
          <w:color w:val="595959"/>
          <w:sz w:val="19"/>
          <w:szCs w:val="18"/>
        </w:rPr>
      </w:pPr>
      <w:r>
        <w:rPr>
          <w:rFonts w:cs="UnitOT-Light"/>
          <w:iCs/>
          <w:color w:val="595959"/>
          <w:sz w:val="19"/>
          <w:szCs w:val="18"/>
        </w:rPr>
      </w:r>
      <w:r/>
    </w:p>
    <w:p>
      <w:r>
        <mc:AlternateContent>
          <mc:Choice Requires="wpg">
            <w:drawing>
              <wp:inline xmlns:wp="http://schemas.openxmlformats.org/drawingml/2006/wordprocessingDrawing" distT="0" distB="0" distL="0" distR="0">
                <wp:extent cx="5219700" cy="3799205"/>
                <wp:effectExtent l="0" t="0" r="0" b="0"/>
                <wp:docPr id="27"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2.png" hidden="0"/>
                        <pic:cNvPicPr>
                          <a:picLocks noChangeAspect="1"/>
                        </pic:cNvPicPr>
                      </pic:nvPicPr>
                      <pic:blipFill>
                        <a:blip r:embed="rId18"/>
                        <a:stretch/>
                      </pic:blipFill>
                      <pic:spPr bwMode="auto">
                        <a:xfrm>
                          <a:off x="0" y="0"/>
                          <a:ext cx="5219700" cy="3799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11.0pt;height:299.1pt;" stroked="false">
                <v:path textboxrect="0,0,0,0"/>
                <v:imagedata r:id="rId18" o:title=""/>
              </v:shape>
            </w:pict>
          </mc:Fallback>
        </mc:AlternateContent>
      </w:r>
      <w:r/>
    </w:p>
    <w:p>
      <w:pPr>
        <w:pStyle w:val="478"/>
      </w:pPr>
      <w:r/>
      <w:bookmarkStart w:id="8" w:name="_Ref528841431"/>
      <w:r>
        <w:t xml:space="preserve">Figura </w:t>
      </w:r>
      <w:r>
        <w:fldChar w:fldCharType="begin"/>
      </w:r>
      <w:r>
        <w:instrText xml:space="preserve"> SEQ Figura \* ARABIC </w:instrText>
      </w:r>
      <w:r>
        <w:fldChar w:fldCharType="separate"/>
      </w:r>
      <w:r>
        <w:t xml:space="preserve">2</w:t>
      </w:r>
      <w:r>
        <w:fldChar w:fldCharType="end"/>
      </w:r>
      <w:bookmarkEnd w:id="8"/>
      <w:r>
        <w:t xml:space="preserve">. El iceberg de la calidad del software.</w:t>
      </w:r>
      <w:r>
        <w:t xml:space="preserve"> </w:t>
      </w:r>
      <w:r>
        <w:t xml:space="preserve">Fuente: Elaboración propia a partir de </w:t>
      </w:r>
      <w:r>
        <w:fldChar w:fldCharType="begin"/>
      </w:r>
      <w:r>
        <w:instrText xml:space="preserve"> ADDIN ZOTERO_ITEM CSL_CITATION {"citationID":"MGvOrgd</w:instrText>
      </w:r>
      <w:r>
        <w:instrText xml:space="preserve">S","properties":{"custom":"McConnell (1993)","formattedCitation":"McConnell (1993)","plainCitation":"McConnell (1993)","noteIndex":0},"citationItems":[{"id":3191,"uris":["http://zotero.org/users/111670/items/664RY4EY"],"uri":["http://zotero.org/users/11167</w:instrText>
      </w:r>
      <w:r>
        <w:instrText xml:space="preserve">0/items/664RY4EY"],"itemData":{"id":3191,"type":"book","title":"Code complete","publisher":"Microsoft Press","publisher-place":"Redmond, Wash","number-of-pages":"914","edition":"1st Ed.","source":"Library of Congress ISBN","event-place":"Redmond, Wash","IS</w:instrText>
      </w:r>
      <w:r>
        <w:instrText xml:space="preserve">BN":"978-1-55615-484-3","call-number":"QA76.76.D47 M39 2004","language":"en","author":[{"family":"McConnell","given":"Steve"}],"issued":{"date-parts":[["1993"]]}}}],"schema":"https://github.com/citation-style-language/schema/raw/master/csl-citation.json"} </w:instrText>
      </w:r>
      <w:r>
        <w:fldChar w:fldCharType="separate"/>
      </w:r>
      <w:r>
        <w:t xml:space="preserve">McConnell (1993)</w:t>
      </w:r>
      <w:r>
        <w:fldChar w:fldCharType="end"/>
      </w:r>
      <w:r>
        <w:t xml:space="preserve">.</w:t>
      </w:r>
      <w:r>
        <w:br/>
        <w:t xml:space="preserve">Créditos de la imagen: </w:t>
      </w:r>
      <w:r>
        <w:t xml:space="preserve">kisspng</w:t>
      </w:r>
      <w:r>
        <w:t xml:space="preserve"> </w:t>
      </w:r>
      <w:r/>
    </w:p>
    <w:p>
      <w:r/>
      <w:r/>
    </w:p>
    <w:p>
      <w:r>
        <w:t xml:space="preserve">Actualmente</w:t>
      </w:r>
      <w:r>
        <w:t xml:space="preserve">,</w:t>
      </w:r>
      <w:r>
        <w:t xml:space="preserve"> todos </w:t>
      </w:r>
      <w:r>
        <w:rPr>
          <w:b/>
        </w:rPr>
        <w:t xml:space="preserve">los aspectos relacionados con la calidad del proceso de desarrollo de software</w:t>
      </w:r>
      <w:r>
        <w:t xml:space="preserve"> y</w:t>
      </w:r>
      <w:r>
        <w:rPr>
          <w:b/>
        </w:rPr>
        <w:t xml:space="preserve"> la calidad del propio producto</w:t>
      </w:r>
      <w:r>
        <w:t xml:space="preserve"> están reclamando cada vez más atención en el mundo de la ingeniería del software. Son dos aspectos que están claramente interconectados; l</w:t>
      </w:r>
      <w:r>
        <w:rPr>
          <w:b/>
        </w:rPr>
        <w:t xml:space="preserve">a mejora de los procesos de construcción de software afecta a la calidad del resultado, mientras que las mejoras introducidas en el propio producto pueden facilitar los procesos que soportan su desarrollo. </w:t>
      </w:r>
      <w:r/>
    </w:p>
    <w:p>
      <w:r/>
      <w:r/>
    </w:p>
    <w:p>
      <w:r>
        <w:t xml:space="preserve">Las principales iniciativas han venido centrándose en la</w:t>
      </w:r>
      <w:r>
        <w:t xml:space="preserve"> mejora de los procesos</w:t>
      </w:r>
      <w:r>
        <w:t xml:space="preserve">, pero no debemos </w:t>
      </w:r>
      <w:r>
        <w:t xml:space="preserve">olvidar que, finalmente, de lo que se trata es de mejorar la calidad del producto construido. Algunos autores vienen señalando que cualquier estándar o proceso de certificación debería estar centrado principalmente en el producto y no tanto en el proceso. </w:t>
      </w:r>
      <w:r>
        <w:t xml:space="preserve">«</w:t>
      </w:r>
      <w:r>
        <w:t xml:space="preserve">Las evaluaciones deberían basarse en evidencias directas sobre los atributos del producto, y no en evidencia circunstancial sobre el proceso</w:t>
      </w:r>
      <w:r>
        <w:t xml:space="preserve">»</w:t>
      </w:r>
      <w:r>
        <w:t xml:space="preserve"> (</w:t>
      </w:r>
      <w:r>
        <w:t xml:space="preserve">Maibaum</w:t>
      </w:r>
      <w:r>
        <w:t xml:space="preserve"> y </w:t>
      </w:r>
      <w:r>
        <w:t xml:space="preserve">Wassyng</w:t>
      </w:r>
      <w:r>
        <w:t xml:space="preserve">, 2008, p. 91). </w:t>
      </w:r>
      <w:r/>
    </w:p>
    <w:p>
      <w:r>
        <w:t xml:space="preserve">Otros autores señalan que existe poca evidencia de que la adopción de procesos estandarizados garantice e</w:t>
      </w:r>
      <w:r>
        <w:t xml:space="preserve">n sí misma la obtención de buenos productos. Los procesos estandarizados garantizan la uniformidad de los resultados obtenidos, pero se corre el peligro de institucionalizar prácticas perjudiciales, que no estén en realidad contribuyendo al objetivo final.</w:t>
      </w:r>
      <w:r/>
    </w:p>
    <w:p>
      <w:r/>
      <w:r/>
    </w:p>
    <w:p>
      <w:r>
        <w:t xml:space="preserve">Por todos estos motivos</w:t>
      </w:r>
      <w:r>
        <w:t xml:space="preserve">,</w:t>
      </w:r>
      <w:r>
        <w:t xml:space="preserve"> se ha venido detectando la </w:t>
      </w:r>
      <w:r>
        <w:rPr>
          <w:b/>
        </w:rPr>
        <w:t xml:space="preserve">necesidad de contar con normas y marcos metodológicos que faciliten la medición de la calidad del producto software</w:t>
      </w:r>
      <w:r>
        <w:t xml:space="preserve">, su análisis y la elaboración de los resultados en informes. La nueva familia de estándares</w:t>
      </w:r>
      <w:r>
        <w:rPr>
          <w:b/>
        </w:rPr>
        <w:t xml:space="preserve"> ISO/IEC 25000 </w:t>
      </w:r>
      <w:r>
        <w:t xml:space="preserve">de reciente aparición se centra precisamente en este interés, y también es denominada</w:t>
      </w:r>
      <w:r>
        <w:rPr>
          <w:b/>
        </w:rPr>
        <w:t xml:space="preserve"> </w:t>
      </w:r>
      <w:r>
        <w:rPr>
          <w:b/>
        </w:rPr>
        <w:t xml:space="preserve">SQuaRE</w:t>
      </w:r>
      <w:r>
        <w:rPr>
          <w:b/>
        </w:rPr>
        <w:t xml:space="preserve"> </w:t>
      </w:r>
      <w:r>
        <w:t xml:space="preserve">(iso25000.com, 2018a): </w:t>
      </w:r>
      <w:r>
        <w:rPr>
          <w:i/>
        </w:rPr>
        <w:t xml:space="preserve">System</w:t>
      </w:r>
      <w:r>
        <w:rPr>
          <w:i/>
        </w:rPr>
        <w:t xml:space="preserve"> and Software </w:t>
      </w:r>
      <w:r>
        <w:rPr>
          <w:i/>
        </w:rPr>
        <w:t xml:space="preserve">Quality</w:t>
      </w:r>
      <w:r>
        <w:rPr>
          <w:i/>
        </w:rPr>
        <w:t xml:space="preserve"> </w:t>
      </w:r>
      <w:r>
        <w:rPr>
          <w:i/>
        </w:rPr>
        <w:t xml:space="preserve">Requirements</w:t>
      </w:r>
      <w:r>
        <w:rPr>
          <w:i/>
        </w:rPr>
        <w:t xml:space="preserve"> ad </w:t>
      </w:r>
      <w:r>
        <w:rPr>
          <w:i/>
        </w:rPr>
        <w:t xml:space="preserve">Evaluation</w:t>
      </w:r>
      <w:r>
        <w:t xml:space="preserve"> (Requisitos y </w:t>
      </w:r>
      <w:r>
        <w:t xml:space="preserve">e</w:t>
      </w:r>
      <w:r>
        <w:t xml:space="preserve">valuación de la </w:t>
      </w:r>
      <w:r>
        <w:t xml:space="preserve">c</w:t>
      </w:r>
      <w:r>
        <w:t xml:space="preserve">alidad del </w:t>
      </w:r>
      <w:r>
        <w:t xml:space="preserve">s</w:t>
      </w:r>
      <w:r>
        <w:t xml:space="preserve">oftware y el </w:t>
      </w:r>
      <w:r>
        <w:t xml:space="preserve">s</w:t>
      </w:r>
      <w:r>
        <w:t xml:space="preserve">istema).</w:t>
      </w:r>
      <w:r/>
    </w:p>
    <w:p>
      <w:r/>
      <w:r/>
    </w:p>
    <w:p>
      <w:r/>
      <w:r/>
    </w:p>
    <w:p>
      <w:pPr>
        <w:pStyle w:val="488"/>
      </w:pPr>
      <w:r/>
      <w:bookmarkStart w:id="9" w:name="_Toc535214623"/>
      <w:r>
        <w:t xml:space="preserve">10.3. Modelos de calidad del producto software</w:t>
      </w:r>
      <w:bookmarkEnd w:id="9"/>
      <w:r/>
      <w:r/>
    </w:p>
    <w:p>
      <w:r/>
      <w:r/>
    </w:p>
    <w:p>
      <w:r>
        <w:t xml:space="preserve">En esta sección v</w:t>
      </w:r>
      <w:r>
        <w:t xml:space="preserve">amos a revisar algunas de las principales normas y modelos que se ocupan de valorar el producto software teniendo en cuenta un conjunto de atributos que lo caracterizan. La mayoría de los modelos de calidad del software se estructuran como se muestra en la</w:t>
      </w:r>
      <w:r>
        <w:t xml:space="preserve"> f</w:t>
      </w:r>
      <w:r>
        <w:t xml:space="preserve">igura 3.</w:t>
      </w:r>
      <w:r/>
    </w:p>
    <w:p>
      <w:r/>
      <w:r/>
    </w:p>
    <w:p>
      <w:pPr>
        <w:pStyle w:val="480"/>
        <w:numPr>
          <w:ilvl w:val="0"/>
          <w:numId w:val="27"/>
        </w:numPr>
      </w:pPr>
      <w:r>
        <w:t xml:space="preserve">Los </w:t>
      </w:r>
      <w:r>
        <w:rPr>
          <w:b/>
        </w:rPr>
        <w:t xml:space="preserve">factores de calidad</w:t>
      </w:r>
      <w:r>
        <w:t xml:space="preserve">, o atributos externos, son las características que determinan la calidad desde el punto de vista del usuario. Aglutina las expectativas que tiene el usuario sobre los beneficios que obtendrá del producto.</w:t>
      </w:r>
      <w:r/>
    </w:p>
    <w:p>
      <w:pPr>
        <w:pStyle w:val="480"/>
        <w:numPr>
          <w:ilvl w:val="0"/>
          <w:numId w:val="27"/>
        </w:numPr>
      </w:pPr>
      <w:r>
        <w:t xml:space="preserve">Los </w:t>
      </w:r>
      <w:r>
        <w:rPr>
          <w:b/>
        </w:rPr>
        <w:t xml:space="preserve">criterios de calidad</w:t>
      </w:r>
      <w:r>
        <w:t xml:space="preserve">, o atributos internos, son características del propio producto asociadas a cada factor.</w:t>
      </w:r>
      <w:r/>
    </w:p>
    <w:p>
      <w:pPr>
        <w:pStyle w:val="480"/>
        <w:numPr>
          <w:ilvl w:val="0"/>
          <w:numId w:val="27"/>
        </w:numPr>
      </w:pPr>
      <w:r>
        <w:t xml:space="preserve">Las </w:t>
      </w:r>
      <w:r>
        <w:rPr>
          <w:b/>
        </w:rPr>
        <w:t xml:space="preserve">métricas asociadas a cada criterio de calidad</w:t>
      </w:r>
      <w:r>
        <w:t xml:space="preserve"> son medidas cuantitativas concretas que permiten valorar el grado de presencia de un atributo.</w:t>
      </w:r>
      <w:r/>
    </w:p>
    <w:p>
      <w:r/>
      <w:r/>
    </w:p>
    <w:p>
      <w:r>
        <mc:AlternateContent>
          <mc:Choice Requires="wpg">
            <w:drawing>
              <wp:inline xmlns:wp="http://schemas.openxmlformats.org/drawingml/2006/wordprocessingDrawing" distT="0" distB="0" distL="0" distR="0">
                <wp:extent cx="5414010" cy="1798320"/>
                <wp:effectExtent l="0" t="0" r="0" b="0"/>
                <wp:docPr id="28"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4" hidden="0"/>
                        <pic:cNvPicPr>
                          <a:picLocks noChangeAspect="1"/>
                        </pic:cNvPicPr>
                      </pic:nvPicPr>
                      <pic:blipFill>
                        <a:blip r:embed="rId19"/>
                        <a:stretch/>
                      </pic:blipFill>
                      <pic:spPr bwMode="auto">
                        <a:xfrm>
                          <a:off x="0" y="0"/>
                          <a:ext cx="5414010" cy="179832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6.3pt;height:141.6pt;" stroked="false">
                <v:path textboxrect="0,0,0,0"/>
                <v:imagedata r:id="rId19" o:title=""/>
              </v:shape>
            </w:pict>
          </mc:Fallback>
        </mc:AlternateContent>
      </w:r>
      <w:r/>
    </w:p>
    <w:p>
      <w:pPr>
        <w:pStyle w:val="478"/>
      </w:pPr>
      <w:r/>
      <w:bookmarkStart w:id="10" w:name="_Ref528608662"/>
      <w:r>
        <w:t xml:space="preserve">Figura </w:t>
      </w:r>
      <w:r>
        <w:fldChar w:fldCharType="begin"/>
      </w:r>
      <w:r>
        <w:instrText xml:space="preserve"> SEQ Figura \* ARABIC </w:instrText>
      </w:r>
      <w:r>
        <w:fldChar w:fldCharType="separate"/>
      </w:r>
      <w:r>
        <w:t xml:space="preserve">3</w:t>
      </w:r>
      <w:r>
        <w:fldChar w:fldCharType="end"/>
      </w:r>
      <w:bookmarkEnd w:id="10"/>
      <w:r>
        <w:t xml:space="preserve">. Estructura de la calidad del software.</w:t>
      </w:r>
      <w:r>
        <w:br/>
        <w:t xml:space="preserve">Fuente: Elaboración propia a partir de </w:t>
      </w:r>
      <w:r>
        <w:t xml:space="preserve">Callejas</w:t>
      </w:r>
      <w:r>
        <w:t xml:space="preserve">–</w:t>
      </w:r>
      <w:r>
        <w:t xml:space="preserve">Cuervo, Alarcón</w:t>
      </w:r>
      <w:r>
        <w:t xml:space="preserve">–</w:t>
      </w:r>
      <w:r>
        <w:t xml:space="preserve">Aldana</w:t>
      </w:r>
      <w:r>
        <w:t xml:space="preserve"> y</w:t>
      </w:r>
      <w:r>
        <w:t xml:space="preserve"> Álvarez</w:t>
      </w:r>
      <w:r>
        <w:t xml:space="preserve">–</w:t>
      </w:r>
      <w:r>
        <w:t xml:space="preserve">Carreño (2017, p. 238)</w:t>
      </w:r>
      <w:r/>
    </w:p>
    <w:p>
      <w:r/>
      <w:r/>
    </w:p>
    <w:p>
      <w:r>
        <w:t xml:space="preserve">Los diferentes </w:t>
      </w:r>
      <w:r>
        <w:rPr>
          <w:b/>
        </w:rPr>
        <w:t xml:space="preserve">modelos de calidad del producto software</w:t>
      </w:r>
      <w:r>
        <w:t xml:space="preserve"> se pueden clasificar según tengan un enfoque de modelo de calidad fijo, a medida o mixto (Calero, </w:t>
      </w:r>
      <w:r>
        <w:t xml:space="preserve">Piattini</w:t>
      </w:r>
      <w:r>
        <w:t xml:space="preserve"> y</w:t>
      </w:r>
      <w:r>
        <w:t xml:space="preserve"> Moraga, 2010).</w:t>
      </w:r>
      <w:r/>
    </w:p>
    <w:p>
      <w:r/>
      <w:r/>
    </w:p>
    <w:p>
      <w:pPr>
        <w:pStyle w:val="480"/>
        <w:numPr>
          <w:ilvl w:val="0"/>
          <w:numId w:val="28"/>
        </w:numPr>
      </w:pPr>
      <w:r>
        <w:rPr>
          <w:b/>
        </w:rPr>
        <w:t xml:space="preserve">Los modelos fijos </w:t>
      </w:r>
      <w:r>
        <w:t xml:space="preserve">ofrecen un catálogo de factores de calidad para emplear como base de la</w:t>
      </w:r>
      <w:r>
        <w:t xml:space="preserve"> evaluación. Generalmente ofrece una jerarquía amplia de factores, criterios y métricas, de los que se puede seleccionar los elementos más adecuados para un proceso de evaluación concreto. A esta categoría pertenecen los modelos de McCall (McCall, Richards</w:t>
      </w:r>
      <w:r>
        <w:t xml:space="preserve"> y</w:t>
      </w:r>
      <w:r>
        <w:t xml:space="preserve"> Walters, 1977b, 1977a), Boehm (Boehm, 1978), y FURPS (Grady </w:t>
      </w:r>
      <w:r>
        <w:t xml:space="preserve">y</w:t>
      </w:r>
      <w:r>
        <w:t xml:space="preserve"> Caswell, 1987), con un enfoque más industrial.</w:t>
      </w:r>
      <w:r/>
    </w:p>
    <w:p>
      <w:pPr>
        <w:pStyle w:val="480"/>
        <w:ind w:left="284"/>
      </w:pPr>
      <w:r/>
      <w:r/>
    </w:p>
    <w:p>
      <w:pPr>
        <w:pStyle w:val="480"/>
        <w:numPr>
          <w:ilvl w:val="0"/>
          <w:numId w:val="28"/>
        </w:numPr>
      </w:pPr>
      <w:r>
        <w:rPr>
          <w:b/>
        </w:rPr>
        <w:t xml:space="preserve">Los modelos a medida</w:t>
      </w:r>
      <w:r>
        <w:t xml:space="preserve"> se definen </w:t>
      </w:r>
      <w:r>
        <w:rPr>
          <w:i/>
        </w:rPr>
        <w:t xml:space="preserve">ad</w:t>
      </w:r>
      <w:r>
        <w:rPr>
          <w:i/>
        </w:rPr>
        <w:t xml:space="preserve"> </w:t>
      </w:r>
      <w:r>
        <w:rPr>
          <w:i/>
        </w:rPr>
        <w:t xml:space="preserve">hoc</w:t>
      </w:r>
      <w:r>
        <w:t xml:space="preserve"> para cada proyecto, partiendo de los objetivos concretos que se desea alcanzar.</w:t>
      </w:r>
      <w:r/>
    </w:p>
    <w:p>
      <w:r/>
      <w:r/>
    </w:p>
    <w:p>
      <w:pPr>
        <w:pStyle w:val="480"/>
        <w:numPr>
          <w:ilvl w:val="0"/>
          <w:numId w:val="28"/>
        </w:numPr>
      </w:pPr>
      <w:r>
        <w:rPr>
          <w:b/>
        </w:rPr>
        <w:t xml:space="preserve">Los modelos mixtos</w:t>
      </w:r>
      <w:r>
        <w:t xml:space="preserve"> intentan combinar las ventajas </w:t>
      </w:r>
      <w:r>
        <w:t xml:space="preserve">de los modelos anteriores. Ofrecen un conjunto de factores de calidad de alto nivel, reutilizables en todos los proyectos, pero refinados para cada caso particular. A esta categoría pertenece el estándar ISO/IEC 9126-1 que revisaremos un poco más adelante.</w:t>
      </w:r>
      <w:r/>
    </w:p>
    <w:p>
      <w:r/>
      <w:r/>
    </w:p>
    <w:p>
      <w:r>
        <w:t xml:space="preserve">La </w:t>
      </w:r>
      <w:r>
        <w:t xml:space="preserve">t</w:t>
      </w:r>
      <w:r>
        <w:t xml:space="preserve">abla 1 recoge las principales ventajas e inconvenientes de las dos primeras categorías, lo cual da una idea de los potenciales beneficios de un modelo mixto. En el trabajo de Callejas</w:t>
      </w:r>
      <w:r>
        <w:t xml:space="preserve"> y </w:t>
      </w:r>
      <w:r>
        <w:t xml:space="preserve">Cuervo et al. (2017) se puede encontrar una revisión de </w:t>
      </w:r>
      <w:r>
        <w:t xml:space="preserve">algunos de los modelos de calidad más conocidos, junto con una recopilación de diferentes implementaciones a nivel mundial.</w:t>
      </w:r>
      <w:r/>
    </w:p>
    <w:p>
      <w:r/>
      <w:r/>
    </w:p>
    <w:tbl>
      <w:tblPr>
        <w:tblStyle w:val="501"/>
        <w:tblW w:w="0" w:type="auto"/>
        <w:tblLook w:val="04A0" w:firstRow="1" w:lastRow="0" w:firstColumn="1" w:lastColumn="0" w:noHBand="0" w:noVBand="1"/>
      </w:tblPr>
      <w:tblGrid>
        <w:gridCol w:w="1134"/>
        <w:gridCol w:w="3544"/>
        <w:gridCol w:w="3532"/>
      </w:tblGrid>
      <w:tr>
        <w:trPr/>
        <w:tc>
          <w:tcPr>
            <w:tcW w:w="1134" w:type="dxa"/>
            <w:textDirection w:val="lrTb"/>
            <w:noWrap w:val="false"/>
          </w:tcPr>
          <w:p>
            <w:pPr>
              <w:jc w:val="center"/>
              <w:rPr>
                <w:b/>
                <w:sz w:val="22"/>
                <w:szCs w:val="22"/>
              </w:rPr>
            </w:pPr>
            <w:r>
              <w:rPr>
                <w:b/>
                <w:sz w:val="22"/>
                <w:szCs w:val="22"/>
              </w:rPr>
              <w:t xml:space="preserve">TIPO</w:t>
            </w:r>
            <w:r/>
          </w:p>
        </w:tc>
        <w:tc>
          <w:tcPr>
            <w:tcW w:w="3544" w:type="dxa"/>
            <w:textDirection w:val="lrTb"/>
            <w:noWrap w:val="false"/>
          </w:tcPr>
          <w:p>
            <w:pPr>
              <w:jc w:val="center"/>
              <w:rPr>
                <w:b/>
                <w:color w:val="FFFFFF"/>
                <w:sz w:val="22"/>
                <w:szCs w:val="22"/>
              </w:rPr>
            </w:pPr>
            <w:r>
              <w:rPr>
                <w:b/>
                <w:color w:val="FFFFFF" w:themeColor="background1"/>
                <w:sz w:val="22"/>
                <w:szCs w:val="22"/>
              </w:rPr>
              <w:t xml:space="preserve">VENTAJAS</w:t>
            </w:r>
            <w:r/>
          </w:p>
        </w:tc>
        <w:tc>
          <w:tcPr>
            <w:tcW w:w="3532" w:type="dxa"/>
            <w:textDirection w:val="lrTb"/>
            <w:noWrap w:val="false"/>
          </w:tcPr>
          <w:p>
            <w:pPr>
              <w:jc w:val="center"/>
              <w:rPr>
                <w:b/>
                <w:color w:val="FFFFFF"/>
                <w:sz w:val="22"/>
                <w:szCs w:val="22"/>
              </w:rPr>
            </w:pPr>
            <w:r>
              <w:rPr>
                <w:b/>
                <w:color w:val="FFFFFF" w:themeColor="background1"/>
                <w:sz w:val="22"/>
                <w:szCs w:val="22"/>
              </w:rPr>
              <w:t xml:space="preserve">INCONVENIENTES</w:t>
            </w:r>
            <w:r/>
          </w:p>
        </w:tc>
      </w:tr>
      <w:tr>
        <w:trPr/>
        <w:tc>
          <w:tcPr>
            <w:tcW w:w="1134" w:type="dxa"/>
            <w:vAlign w:val="top"/>
            <w:textDirection w:val="lrTb"/>
            <w:noWrap w:val="false"/>
          </w:tcPr>
          <w:p>
            <w:pPr>
              <w:jc w:val="right"/>
              <w:rPr>
                <w:b/>
                <w:sz w:val="20"/>
                <w:szCs w:val="20"/>
              </w:rPr>
            </w:pPr>
            <w:r>
              <w:rPr>
                <w:b/>
                <w:sz w:val="20"/>
                <w:szCs w:val="20"/>
              </w:rPr>
              <w:t xml:space="preserve">Fijo</w:t>
            </w:r>
            <w:r/>
          </w:p>
        </w:tc>
        <w:tc>
          <w:tcPr>
            <w:tcW w:w="3544" w:type="dxa"/>
            <w:vAlign w:val="top"/>
            <w:textDirection w:val="lrTb"/>
            <w:noWrap w:val="false"/>
          </w:tcPr>
          <w:p>
            <w:pPr>
              <w:jc w:val="left"/>
              <w:rPr>
                <w:sz w:val="20"/>
                <w:szCs w:val="20"/>
              </w:rPr>
            </w:pPr>
            <w:r>
              <w:rPr>
                <w:sz w:val="20"/>
                <w:szCs w:val="20"/>
              </w:rPr>
              <w:t xml:space="preserve">Ofrecen una vista común que facilita la comparación entre proyectos.</w:t>
            </w:r>
            <w:r/>
          </w:p>
        </w:tc>
        <w:tc>
          <w:tcPr>
            <w:tcW w:w="3532" w:type="dxa"/>
            <w:vAlign w:val="top"/>
            <w:textDirection w:val="lrTb"/>
            <w:noWrap w:val="false"/>
          </w:tcPr>
          <w:p>
            <w:pPr>
              <w:jc w:val="left"/>
              <w:rPr>
                <w:sz w:val="20"/>
                <w:szCs w:val="20"/>
              </w:rPr>
            </w:pPr>
            <w:r>
              <w:rPr>
                <w:sz w:val="20"/>
                <w:szCs w:val="20"/>
              </w:rPr>
              <w:t xml:space="preserve">Falta de flexibilidad, al asumir que un conjunto de factores es válido para todo proyecto.</w:t>
            </w:r>
            <w:r/>
          </w:p>
        </w:tc>
      </w:tr>
      <w:tr>
        <w:trPr/>
        <w:tc>
          <w:tcPr>
            <w:tcW w:w="1134" w:type="dxa"/>
            <w:vAlign w:val="top"/>
            <w:textDirection w:val="lrTb"/>
            <w:noWrap w:val="false"/>
          </w:tcPr>
          <w:p>
            <w:pPr>
              <w:jc w:val="right"/>
              <w:rPr>
                <w:b/>
                <w:sz w:val="20"/>
                <w:szCs w:val="20"/>
              </w:rPr>
            </w:pPr>
            <w:r>
              <w:rPr>
                <w:b/>
                <w:sz w:val="20"/>
                <w:szCs w:val="20"/>
              </w:rPr>
              <w:t xml:space="preserve">A medida</w:t>
            </w:r>
            <w:r/>
          </w:p>
        </w:tc>
        <w:tc>
          <w:tcPr>
            <w:tcW w:w="3544" w:type="dxa"/>
            <w:vAlign w:val="top"/>
            <w:textDirection w:val="lrTb"/>
            <w:noWrap w:val="false"/>
          </w:tcPr>
          <w:p>
            <w:pPr>
              <w:jc w:val="left"/>
              <w:rPr>
                <w:sz w:val="20"/>
                <w:szCs w:val="20"/>
              </w:rPr>
            </w:pPr>
            <w:r>
              <w:rPr>
                <w:sz w:val="20"/>
                <w:szCs w:val="20"/>
              </w:rPr>
              <w:t xml:space="preserve">A</w:t>
            </w:r>
            <w:r>
              <w:rPr>
                <w:sz w:val="20"/>
                <w:szCs w:val="20"/>
              </w:rPr>
              <w:t xml:space="preserve">daptabilidad </w:t>
            </w:r>
            <w:r>
              <w:rPr>
                <w:sz w:val="20"/>
                <w:szCs w:val="20"/>
              </w:rPr>
              <w:t xml:space="preserve">total </w:t>
            </w:r>
            <w:r>
              <w:rPr>
                <w:sz w:val="20"/>
                <w:szCs w:val="20"/>
              </w:rPr>
              <w:t xml:space="preserve">a las características del producto.</w:t>
            </w:r>
            <w:r/>
          </w:p>
        </w:tc>
        <w:tc>
          <w:tcPr>
            <w:tcW w:w="3532" w:type="dxa"/>
            <w:vAlign w:val="top"/>
            <w:textDirection w:val="lrTb"/>
            <w:noWrap w:val="false"/>
          </w:tcPr>
          <w:p>
            <w:pPr>
              <w:jc w:val="left"/>
              <w:rPr>
                <w:sz w:val="20"/>
                <w:szCs w:val="20"/>
              </w:rPr>
            </w:pPr>
            <w:r>
              <w:rPr>
                <w:sz w:val="20"/>
                <w:szCs w:val="20"/>
              </w:rPr>
              <w:t xml:space="preserve">Falta de reutilización y elevado coste de desarrollo del modelo.</w:t>
            </w:r>
            <w:r/>
          </w:p>
        </w:tc>
      </w:tr>
    </w:tbl>
    <w:p>
      <w:pPr>
        <w:pStyle w:val="478"/>
      </w:pPr>
      <w:r/>
      <w:bookmarkStart w:id="11" w:name="_Ref528863398"/>
      <w:r>
        <w:t xml:space="preserve">Tabla </w:t>
      </w:r>
      <w:r>
        <w:fldChar w:fldCharType="begin"/>
      </w:r>
      <w:r>
        <w:instrText xml:space="preserve"> SEQ Tabla \* ARABIC </w:instrText>
      </w:r>
      <w:r>
        <w:fldChar w:fldCharType="separate"/>
      </w:r>
      <w:r>
        <w:t xml:space="preserve">1</w:t>
      </w:r>
      <w:r>
        <w:fldChar w:fldCharType="end"/>
      </w:r>
      <w:bookmarkEnd w:id="11"/>
      <w:r>
        <w:t xml:space="preserve">. Ventajas e inconvenientes de los diferentes tipos de modelos de calidad de software</w:t>
      </w:r>
      <w:r/>
    </w:p>
    <w:p>
      <w:r/>
      <w:r/>
    </w:p>
    <w:p>
      <w:r>
        <w:t xml:space="preserve">En este apartado revisaremos únicamente algunos de los estándares internacionales más directamente relacionados con </w:t>
      </w:r>
      <w:r>
        <w:t xml:space="preserve">SQuaRE</w:t>
      </w:r>
      <w:r>
        <w:t xml:space="preserve">.</w:t>
      </w:r>
      <w:r/>
    </w:p>
    <w:p>
      <w:r/>
      <w:r/>
    </w:p>
    <w:p>
      <w:pPr>
        <w:pStyle w:val="490"/>
      </w:pPr>
      <w:r>
        <w:t xml:space="preserve">ISO/IEC 9126:2001</w:t>
      </w:r>
      <w:r/>
    </w:p>
    <w:p>
      <w:r/>
      <w:r/>
    </w:p>
    <w:p>
      <w:r>
        <w:t xml:space="preserve">Esta norma establece u</w:t>
      </w:r>
      <w:r>
        <w:t xml:space="preserve">n modelo de calidad para el producto software. La primera versión apareció en 1991, aunque fue sustituida en 2001 por dos estándares relacionados, el ISO/IEC 9126 para la calidad del software y el ISO/IEC 14598 para la evaluación de productos de software. </w:t>
      </w:r>
      <w:r/>
    </w:p>
    <w:p>
      <w:r/>
      <w:r/>
    </w:p>
    <w:p>
      <w:r>
        <w:t xml:space="preserve">Está formada por </w:t>
      </w:r>
      <w:r>
        <w:t xml:space="preserve">cuatro</w:t>
      </w:r>
      <w:r>
        <w:t xml:space="preserve"> partes fundamentales, representadas en la </w:t>
      </w:r>
      <w:r>
        <w:t xml:space="preserve">f</w:t>
      </w:r>
      <w:r>
        <w:t xml:space="preserve">igura 4. Tanto esta norma como su sucesora, ISO 25000 (</w:t>
      </w:r>
      <w:r>
        <w:t xml:space="preserve">SQuaRE</w:t>
      </w:r>
      <w:r>
        <w:t xml:space="preserve">)</w:t>
      </w:r>
      <w:r>
        <w:t xml:space="preserve">,</w:t>
      </w:r>
      <w:r>
        <w:t xml:space="preserve"> </w:t>
      </w:r>
      <w:r>
        <w:rPr>
          <w:b/>
        </w:rPr>
        <w:t xml:space="preserve">contemplan la calidad del producto desde tres perspectivas</w:t>
      </w:r>
      <w:r>
        <w:t xml:space="preserve">: </w:t>
      </w:r>
      <w:r/>
    </w:p>
    <w:p>
      <w:r/>
      <w:r/>
    </w:p>
    <w:p>
      <w:pPr>
        <w:pStyle w:val="480"/>
        <w:numPr>
          <w:ilvl w:val="0"/>
          <w:numId w:val="37"/>
        </w:numPr>
      </w:pPr>
      <w:r>
        <w:rPr>
          <w:b/>
        </w:rPr>
        <w:t xml:space="preserve">U</w:t>
      </w:r>
      <w:r>
        <w:rPr>
          <w:b/>
        </w:rPr>
        <w:t xml:space="preserve">na interna</w:t>
      </w:r>
      <w:r>
        <w:t xml:space="preserve">: </w:t>
      </w:r>
      <w:r>
        <w:t xml:space="preserve">relacionada con la calidad del código</w:t>
      </w:r>
      <w:r>
        <w:t xml:space="preserve">.</w:t>
      </w:r>
      <w:r/>
    </w:p>
    <w:p>
      <w:pPr>
        <w:pStyle w:val="480"/>
        <w:numPr>
          <w:ilvl w:val="0"/>
          <w:numId w:val="37"/>
        </w:numPr>
      </w:pPr>
      <w:r>
        <w:rPr>
          <w:b/>
        </w:rPr>
        <w:t xml:space="preserve">O</w:t>
      </w:r>
      <w:r>
        <w:rPr>
          <w:b/>
        </w:rPr>
        <w:t xml:space="preserve">tra externa</w:t>
      </w:r>
      <w:r>
        <w:t xml:space="preserve">: </w:t>
      </w:r>
      <w:r>
        <w:t xml:space="preserve">relacionada con las características en ejecución</w:t>
      </w:r>
      <w:r>
        <w:t xml:space="preserve">.</w:t>
      </w:r>
      <w:r>
        <w:t xml:space="preserve"> </w:t>
      </w:r>
      <w:r/>
    </w:p>
    <w:p>
      <w:pPr>
        <w:pStyle w:val="480"/>
        <w:numPr>
          <w:ilvl w:val="0"/>
          <w:numId w:val="37"/>
        </w:numPr>
      </w:pPr>
      <w:r>
        <w:rPr>
          <w:b/>
        </w:rPr>
        <w:t xml:space="preserve">O</w:t>
      </w:r>
      <w:r>
        <w:rPr>
          <w:b/>
        </w:rPr>
        <w:t xml:space="preserve">tra en uso</w:t>
      </w:r>
      <w:r>
        <w:t xml:space="preserve">: </w:t>
      </w:r>
      <w:r>
        <w:t xml:space="preserve">más relacionada con la perspectiva del usuario, que ya vimos en la </w:t>
      </w:r>
      <w:r>
        <w:t xml:space="preserve">f</w:t>
      </w:r>
      <w:r>
        <w:t xml:space="preserve">igura 1.</w:t>
      </w:r>
      <w:r/>
    </w:p>
    <w:p>
      <w:r/>
      <w:r/>
    </w:p>
    <w:p>
      <w:r>
        <mc:AlternateContent>
          <mc:Choice Requires="wpg">
            <w:drawing>
              <wp:inline xmlns:wp="http://schemas.openxmlformats.org/drawingml/2006/wordprocessingDrawing" distT="0" distB="0" distL="0" distR="0">
                <wp:extent cx="5414010" cy="1304925"/>
                <wp:effectExtent l="0" t="0" r="0" b="9525"/>
                <wp:docPr id="29"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6" hidden="0"/>
                        <pic:cNvPicPr>
                          <a:picLocks noChangeAspect="1"/>
                        </pic:cNvPicPr>
                      </pic:nvPicPr>
                      <pic:blipFill>
                        <a:blip r:embed="rId20"/>
                        <a:stretch/>
                      </pic:blipFill>
                      <pic:spPr bwMode="auto">
                        <a:xfrm>
                          <a:off x="0" y="0"/>
                          <a:ext cx="5414010" cy="130492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26.3pt;height:102.8pt;" stroked="false">
                <v:path textboxrect="0,0,0,0"/>
                <v:imagedata r:id="rId20" o:title=""/>
              </v:shape>
            </w:pict>
          </mc:Fallback>
        </mc:AlternateContent>
      </w:r>
      <w:r/>
    </w:p>
    <w:p>
      <w:pPr>
        <w:pStyle w:val="478"/>
      </w:pPr>
      <w:r>
        <w:tab/>
      </w:r>
      <w:bookmarkStart w:id="12" w:name="_Ref528833548"/>
      <w:r>
        <w:t xml:space="preserve">Figura </w:t>
      </w:r>
      <w:r>
        <w:fldChar w:fldCharType="begin"/>
      </w:r>
      <w:r>
        <w:instrText xml:space="preserve"> SEQ Figura \* ARABIC </w:instrText>
      </w:r>
      <w:r>
        <w:fldChar w:fldCharType="separate"/>
      </w:r>
      <w:r>
        <w:t xml:space="preserve">4</w:t>
      </w:r>
      <w:r>
        <w:fldChar w:fldCharType="end"/>
      </w:r>
      <w:bookmarkEnd w:id="12"/>
      <w:r>
        <w:t xml:space="preserve">. Las cuatro partes de la norma ISO 9126</w:t>
      </w:r>
      <w:r/>
    </w:p>
    <w:p>
      <w:pPr>
        <w:tabs>
          <w:tab w:val="left" w:pos="4713" w:leader="none"/>
        </w:tabs>
      </w:pPr>
      <w:r/>
      <w:r/>
    </w:p>
    <w:p>
      <w:pPr>
        <w:tabs>
          <w:tab w:val="left" w:pos="4713" w:leader="none"/>
        </w:tabs>
      </w:pPr>
      <w:r>
        <w:t xml:space="preserve">Se trata de un modelo mixto por definir </w:t>
      </w:r>
      <w:r>
        <w:t xml:space="preserve">«</w:t>
      </w:r>
      <w:r>
        <w:t xml:space="preserve">una jerarquía de factores de calidad clasificados en características, </w:t>
      </w:r>
      <w:r>
        <w:t xml:space="preserve">subcaracterísticas</w:t>
      </w:r>
      <w:r>
        <w:t xml:space="preserve"> y atributos</w:t>
      </w:r>
      <w:r>
        <w:t xml:space="preserve">»</w:t>
      </w:r>
      <w:r>
        <w:t xml:space="preserve"> (Calero et al., 2010, p. 294). </w:t>
      </w:r>
      <w:r/>
    </w:p>
    <w:p>
      <w:pPr>
        <w:tabs>
          <w:tab w:val="left" w:pos="4713" w:leader="none"/>
        </w:tabs>
      </w:pPr>
      <w:r/>
      <w:r/>
    </w:p>
    <w:p>
      <w:pPr>
        <w:tabs>
          <w:tab w:val="left" w:pos="4713" w:leader="none"/>
        </w:tabs>
      </w:pPr>
      <w:r>
        <w:t xml:space="preserve">Se ofrece un conjunto de factores de partida compuesto por </w:t>
      </w:r>
      <w:r>
        <w:t xml:space="preserve">seis</w:t>
      </w:r>
      <w:r>
        <w:t xml:space="preserve"> características comunes a las vistas interna y externa </w:t>
      </w:r>
      <w:r>
        <w:t xml:space="preserve">—</w:t>
      </w:r>
      <w:r>
        <w:t xml:space="preserve">funcionalidad, fiabilidad, eficiencia, usabilidad, mantenibilidad y portabilidad</w:t>
      </w:r>
      <w:r>
        <w:t xml:space="preserve">—</w:t>
      </w:r>
      <w:r>
        <w:t xml:space="preserve"> y </w:t>
      </w:r>
      <w:r>
        <w:t xml:space="preserve">veintisiete</w:t>
      </w:r>
      <w:r>
        <w:t xml:space="preserve"> </w:t>
      </w:r>
      <w:r>
        <w:t xml:space="preserve">subcaracterísticas</w:t>
      </w:r>
      <w:r>
        <w:t xml:space="preserve">. </w:t>
      </w:r>
      <w:r/>
    </w:p>
    <w:p>
      <w:pPr>
        <w:tabs>
          <w:tab w:val="left" w:pos="4713" w:leader="none"/>
        </w:tabs>
      </w:pPr>
      <w:r/>
      <w:r/>
    </w:p>
    <w:p>
      <w:pPr>
        <w:pStyle w:val="490"/>
      </w:pPr>
      <w:r>
        <w:t xml:space="preserve">ISO/IEC 14598</w:t>
      </w:r>
      <w:r/>
    </w:p>
    <w:p>
      <w:r/>
      <w:r/>
    </w:p>
    <w:p>
      <w:pPr>
        <w:tabs>
          <w:tab w:val="left" w:pos="4713" w:leader="none"/>
        </w:tabs>
      </w:pPr>
      <w:r>
        <w:t xml:space="preserve">Esta norma está directamente relacionada con ISO 9126 y se </w:t>
      </w:r>
      <w:r>
        <w:t xml:space="preserve">encarga de establecer los procesos para realizar la evaluación de la calidad del software. Su primera versión salió a la luz en 1999. Las normas ISO 9126 e ISO 14598, a pesar de estar relacionadas entre sí, tienen múltiples inconsistencias. Por este motivo</w:t>
      </w:r>
      <w:r>
        <w:t xml:space="preserve">,</w:t>
      </w:r>
      <w:r>
        <w:t xml:space="preserve"> se ha desarrollado recientemente el conjunto de normas ISO/IEC 25000, que aglutinan bajo una misma familia tanto el modelo de calidad del producto software, como las guías para realizar el proceso de evaluación.</w:t>
      </w:r>
      <w:r/>
    </w:p>
    <w:p>
      <w:pPr>
        <w:tabs>
          <w:tab w:val="left" w:pos="4713" w:leader="none"/>
        </w:tabs>
      </w:pPr>
      <w:r/>
      <w:r/>
    </w:p>
    <w:p>
      <w:pPr>
        <w:pStyle w:val="490"/>
      </w:pPr>
      <w:r>
        <w:t xml:space="preserve">CISQ</w:t>
      </w:r>
      <w:r/>
    </w:p>
    <w:p>
      <w:r/>
      <w:r/>
    </w:p>
    <w:p>
      <w:pPr>
        <w:tabs>
          <w:tab w:val="left" w:pos="4713" w:leader="none"/>
        </w:tabs>
      </w:pPr>
      <w:r>
        <w:t xml:space="preserve">El </w:t>
      </w:r>
      <w:r>
        <w:rPr>
          <w:i/>
        </w:rPr>
        <w:t xml:space="preserve">Consortium</w:t>
      </w:r>
      <w:r>
        <w:rPr>
          <w:i/>
        </w:rPr>
        <w:t xml:space="preserve"> </w:t>
      </w:r>
      <w:r>
        <w:rPr>
          <w:i/>
        </w:rPr>
        <w:t xml:space="preserve">for</w:t>
      </w:r>
      <w:r>
        <w:rPr>
          <w:i/>
        </w:rPr>
        <w:t xml:space="preserve"> IT Software </w:t>
      </w:r>
      <w:r>
        <w:rPr>
          <w:i/>
        </w:rPr>
        <w:t xml:space="preserve">Quality</w:t>
      </w:r>
      <w:r>
        <w:t xml:space="preserve"> (CISQ) es una organización fundada por el OMG (</w:t>
      </w:r>
      <w:r>
        <w:rPr>
          <w:i/>
        </w:rPr>
        <w:t xml:space="preserve">Object</w:t>
      </w:r>
      <w:r>
        <w:rPr>
          <w:i/>
        </w:rPr>
        <w:t xml:space="preserve"> Management </w:t>
      </w:r>
      <w:r>
        <w:rPr>
          <w:i/>
        </w:rPr>
        <w:t xml:space="preserve">Group</w:t>
      </w:r>
      <w:r>
        <w:t xml:space="preserve">) y el SEI (</w:t>
      </w:r>
      <w:r>
        <w:rPr>
          <w:i/>
        </w:rPr>
        <w:t xml:space="preserve">Software </w:t>
      </w:r>
      <w:r>
        <w:rPr>
          <w:i/>
        </w:rPr>
        <w:t xml:space="preserve">Engineering</w:t>
      </w:r>
      <w:r>
        <w:rPr>
          <w:i/>
        </w:rPr>
        <w:t xml:space="preserve"> </w:t>
      </w:r>
      <w:r>
        <w:rPr>
          <w:i/>
        </w:rPr>
        <w:t xml:space="preserve">Institute</w:t>
      </w:r>
      <w:r>
        <w:t xml:space="preserve">) para desarrollar estándares que permitan automatizar la medida del tamaño del software y la calidad estructural del código fuente (CISQ, 2018). A la hora de analizar la calidad del código </w:t>
      </w:r>
      <w:r>
        <w:t xml:space="preserve">podemos considerar que CISQ se basa en </w:t>
      </w:r>
      <w:r>
        <w:t xml:space="preserve">SQuaRE</w:t>
      </w:r>
      <w:r>
        <w:t xml:space="preserve">, pues elige </w:t>
      </w:r>
      <w:r>
        <w:t xml:space="preserve">cuatro</w:t>
      </w:r>
      <w:r>
        <w:t xml:space="preserve"> de las </w:t>
      </w:r>
      <w:r>
        <w:t xml:space="preserve">ocho </w:t>
      </w:r>
      <w:r>
        <w:t xml:space="preserve">características propuestas en el modelo de calidad de software (ver </w:t>
      </w:r>
      <w:r>
        <w:t xml:space="preserve">f</w:t>
      </w:r>
      <w:r>
        <w:t xml:space="preserve">igura 7) y propone maneras de automatizar su m</w:t>
      </w:r>
      <w:r>
        <w:t xml:space="preserve">edida. Estas características son la fiabilidad, la eficiencia de desempeño, la seguridad y la mantenibilidad, por ser en opinión del OMG y el SEI las más importante y las más susceptibles de poder medirse de manera automática con herramientas específicas (</w:t>
      </w:r>
      <w:r>
        <w:t xml:space="preserve">Garzás</w:t>
      </w:r>
      <w:r>
        <w:t xml:space="preserve">, 2013).</w:t>
      </w:r>
      <w:r>
        <w:tab/>
      </w:r>
      <w:r/>
    </w:p>
    <w:p>
      <w:pPr>
        <w:tabs>
          <w:tab w:val="left" w:pos="4713" w:leader="none"/>
        </w:tabs>
      </w:pPr>
      <w:r/>
      <w:r/>
    </w:p>
    <w:p>
      <w:pPr>
        <w:tabs>
          <w:tab w:val="left" w:pos="4713" w:leader="none"/>
        </w:tabs>
      </w:pPr>
      <w:r>
        <mc:AlternateContent>
          <mc:Choice Requires="wpg">
            <w:drawing>
              <wp:inline xmlns:wp="http://schemas.openxmlformats.org/drawingml/2006/wordprocessingDrawing" distT="0" distB="0" distL="0" distR="0">
                <wp:extent cx="5219700" cy="2933065"/>
                <wp:effectExtent l="0" t="0" r="0" b="635"/>
                <wp:docPr id="30"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g3.png" hidden="0"/>
                        <pic:cNvPicPr>
                          <a:picLocks noChangeAspect="1"/>
                        </pic:cNvPicPr>
                      </pic:nvPicPr>
                      <pic:blipFill>
                        <a:blip r:embed="rId21"/>
                        <a:stretch/>
                      </pic:blipFill>
                      <pic:spPr bwMode="auto">
                        <a:xfrm>
                          <a:off x="0" y="0"/>
                          <a:ext cx="5219700" cy="29330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11.0pt;height:230.9pt;" stroked="false">
                <v:path textboxrect="0,0,0,0"/>
                <v:imagedata r:id="rId21" o:title=""/>
              </v:shape>
            </w:pict>
          </mc:Fallback>
        </mc:AlternateContent>
      </w:r>
      <w:r/>
    </w:p>
    <w:p>
      <w:pPr>
        <w:pStyle w:val="478"/>
      </w:pPr>
      <w:r>
        <w:t xml:space="preserve">Figura </w:t>
      </w:r>
      <w:r>
        <w:fldChar w:fldCharType="begin"/>
      </w:r>
      <w:r>
        <w:instrText xml:space="preserve"> SEQ Figura \* ARABIC </w:instrText>
      </w:r>
      <w:r>
        <w:fldChar w:fldCharType="separate"/>
      </w:r>
      <w:r>
        <w:t xml:space="preserve">5</w:t>
      </w:r>
      <w:r>
        <w:fldChar w:fldCharType="end"/>
      </w:r>
      <w:r>
        <w:t xml:space="preserve">. Relación entre los estándares ISO/IEC 9126 e ISO/IEC 14598.</w:t>
      </w:r>
      <w:r>
        <w:t xml:space="preserve"> </w:t>
      </w:r>
      <w:r>
        <w:t xml:space="preserve">Fuente: </w:t>
      </w:r>
      <w:r>
        <w:fldChar w:fldCharType="begin"/>
      </w:r>
      <w:r>
        <w:instrText xml:space="preserve"> ADDIN ZOTERO_ITEM CSL_CITATION {"citationID":"YiKer</w:instrText>
      </w:r>
      <w:r>
        <w:instrText xml:space="preserve">eSq","properties":{"custom":"Calero et\\uc0\\u160{}al. (2010, p. 295)","formattedCitation":"Calero et\\uc0\\u160{}al. (2010, p. 295)","plainCitation":"Calero et al. (2010, p. 295)","noteIndex":0},"citationItems":[{"id":3172,"uris":["http://zotero.org/users</w:instrText>
      </w:r>
      <w:r>
        <w:instrText xml:space="preserve">/111670/items/A2ZCWVDK"],"uri":["http://zotero.org/users/111670/items/A2ZCWVDK"],"itemData":{"id":3172,"type":"book","title":"Calidad del producto y proceso software","publisher":"Editorial Ra-Ma","number-of-pages":"668","source":"Google Books","abstract":</w:instrText>
      </w:r>
      <w:r>
        <w:instrText xml:space="preserve">"La calidad del software es un tema cada vez más en boga y al que se presta mayor atención, no sólo desde el punto de vista investigador, sino también desde el punto de vista empresarial. Cada vez más las empresas pretenden diferenciarse de sus competidore</w:instrText>
      </w:r>
      <w:r>
        <w:instrText xml:space="preserve">s basándose en la calidad de los productos que ofrecen a sus clientes. Este texto tiene como objetivo ayudar a consolidar, unificar y divulgar conocimientos sobre la calidad de los Sistemas de Información y fomentar el desarrollo y uso de nuevas técnicas y</w:instrText>
      </w:r>
      <w:r>
        <w:instrText xml:space="preserve"> metodologías para garantizar la calidad de los productos y los procesos software. El libro está dividido en tres partes. La primera de ellas cubre aspectos generales de calidad del software: el uso de estándares, los nuevos aspectos de normalización de la</w:instrText>
      </w:r>
      <w:r>
        <w:instrText xml:space="preserve"> calidad en los que ISO está trabajando, la familia SQuaRe (Software Quality Requirements), lenguajes para modelar la medición de la calidad del software, técnicas utilizables para la validación en ingeniería del software, visualización de la calidad y la </w:instrText>
      </w:r>
      <w:r>
        <w:instrText xml:space="preserve">relación entre la calidad externa de un producto software y su calidad en uso. La segunda parte del libro versa entorno a modelos, métodos, metodologías y medición de calidad: calidad en DSDM (Desarrollo de Software Dirigido por Modelos), en líneas de prod</w:instrText>
      </w:r>
      <w:r>
        <w:instrText xml:space="preserve">ucto y en componentes software, procesos ETL (Extract, Transform, Load) en almacenes de datos, un plan de medición de calidad de datos, cómo tratar aspectos de calidad en la documentación técnica en un entorno de desarrollo centrado en documentos, como mej</w:instrText>
      </w:r>
      <w:r>
        <w:instrText xml:space="preserve">orar la calidad software mediante una metodología basada en gestión del conocimiento y la seguridad en ingeniería del software como parte fundamental de la calidad. La tercera y última parte de este libro particulariza algunos de los contenidos expuestos a</w:instrText>
      </w:r>
      <w:r>
        <w:instrText xml:space="preserve">nteriormente, y muestra su aplicación a contextos determinados, o su implementación en herramientas. Teniendo en cuenta la estructura y contenidos de este libro, creemos que puede servir tanto a investigadores como a profesionales de la calidad del softwar</w:instrText>
      </w:r>
      <w:r>
        <w:instrText xml:space="preserve">e. También podrá servir de referencia en asignaturas de Ingeniería Informática, así como en doctorados y másters dónde se incluyan contenidos de calidad de software.","ISBN":"978-84-7897-961-5","note":"Google-Books-ID: M4h1WAvbgqQC","language":"es","author</w:instrText>
      </w:r>
      <w:r>
        <w:instrText xml:space="preserve">":[{"family":"Calero","given":"Coral"},{"family":"Piattini","given":"Mario G."},{"family":"Moraga","given":"María Ángeles"}],"issued":{"date-parts":[["2010",2]]}}}],"schema":"https://github.com/citation-style-language/schema/raw/master/csl-citation.json"} </w:instrText>
      </w:r>
      <w:r>
        <w:fldChar w:fldCharType="separate"/>
      </w:r>
      <w:r>
        <w:t xml:space="preserve">C</w:t>
      </w:r>
      <w:r>
        <w:t xml:space="preserve"> alero et al. (2010, p. 295)</w:t>
      </w:r>
      <w:r>
        <w:fldChar w:fldCharType="end"/>
      </w:r>
      <w:r/>
    </w:p>
    <w:p>
      <w:r/>
      <w:r/>
    </w:p>
    <w:p>
      <w:r/>
      <w:r/>
    </w:p>
    <w:p>
      <w:pPr>
        <w:pStyle w:val="488"/>
      </w:pPr>
      <w:r/>
      <w:bookmarkStart w:id="13" w:name="_Toc535214624"/>
      <w:r>
        <w:t xml:space="preserve">10.4. Familia ISO/IEC 25000</w:t>
      </w:r>
      <w:bookmarkEnd w:id="13"/>
      <w:r/>
      <w:r/>
    </w:p>
    <w:p>
      <w:pPr>
        <w:rPr>
          <w:rFonts w:cs="UnitOT-Light"/>
          <w:iCs/>
          <w:color w:val="595959"/>
          <w:sz w:val="19"/>
          <w:szCs w:val="18"/>
        </w:rPr>
      </w:pPr>
      <w:r>
        <w:rPr>
          <w:rFonts w:cs="UnitOT-Light"/>
          <w:iCs/>
          <w:color w:val="595959"/>
          <w:sz w:val="19"/>
          <w:szCs w:val="18"/>
        </w:rPr>
      </w:r>
      <w:r/>
    </w:p>
    <w:p>
      <w:r>
        <w:t xml:space="preserve">Todos los aspectos relacionados con la calidad del proceso de desa</w:t>
      </w:r>
      <w:r>
        <w:t xml:space="preserve">rrollo de software y la calidad del propio producto están reclamando cada vez más atención en el mundo de la ingeniería del software. La nueva familia de estándares ISO/IEC 25000, de reciente aparición, se centra precisamente en este último aspecto, el de </w:t>
      </w:r>
      <w:r>
        <w:rPr>
          <w:b/>
        </w:rPr>
        <w:t xml:space="preserve">evaluar la calidad del producto software</w:t>
      </w:r>
      <w:r>
        <w:t xml:space="preserve">. </w:t>
      </w:r>
      <w:r/>
    </w:p>
    <w:p>
      <w:r/>
      <w:r/>
    </w:p>
    <w:p>
      <w:r>
        <w:t xml:space="preserve">Toma el sobrenombre de </w:t>
      </w:r>
      <w:r>
        <w:rPr>
          <w:b/>
        </w:rPr>
        <w:t xml:space="preserve">SQuaRE</w:t>
      </w:r>
      <w:r>
        <w:t xml:space="preserve"> (iso25000.com, 2018a): </w:t>
      </w:r>
      <w:r>
        <w:rPr>
          <w:i/>
        </w:rPr>
        <w:t xml:space="preserve">System</w:t>
      </w:r>
      <w:r>
        <w:rPr>
          <w:i/>
        </w:rPr>
        <w:t xml:space="preserve"> and Software </w:t>
      </w:r>
      <w:r>
        <w:rPr>
          <w:i/>
        </w:rPr>
        <w:t xml:space="preserve">Quality</w:t>
      </w:r>
      <w:r>
        <w:rPr>
          <w:i/>
        </w:rPr>
        <w:t xml:space="preserve"> </w:t>
      </w:r>
      <w:r>
        <w:rPr>
          <w:i/>
        </w:rPr>
        <w:t xml:space="preserve">Requirements</w:t>
      </w:r>
      <w:r>
        <w:rPr>
          <w:i/>
        </w:rPr>
        <w:t xml:space="preserve"> and </w:t>
      </w:r>
      <w:r>
        <w:rPr>
          <w:i/>
        </w:rPr>
        <w:t xml:space="preserve">Evaluation</w:t>
      </w:r>
      <w:r>
        <w:t xml:space="preserve"> (Requisitos y </w:t>
      </w:r>
      <w:r>
        <w:t xml:space="preserve">e</w:t>
      </w:r>
      <w:r>
        <w:t xml:space="preserve">valuación de la Calidad del </w:t>
      </w:r>
      <w:r>
        <w:t xml:space="preserve">s</w:t>
      </w:r>
      <w:r>
        <w:t xml:space="preserve">oftware y del </w:t>
      </w:r>
      <w:r>
        <w:t xml:space="preserve">s</w:t>
      </w:r>
      <w:r>
        <w:t xml:space="preserve">istema).</w:t>
      </w:r>
      <w:r/>
    </w:p>
    <w:p>
      <w:r>
        <w:rPr>
          <w:b/>
        </w:rPr>
        <w:t xml:space="preserve">ISO/IEC 25000 </w:t>
      </w:r>
      <w:r>
        <w:t xml:space="preserve">aparece para sustituir y evolucionar un conjunto de normas anteriores, basadas en </w:t>
      </w:r>
      <w:r>
        <w:rPr>
          <w:b/>
        </w:rPr>
        <w:t xml:space="preserve">ISO/IEC 9126</w:t>
      </w:r>
      <w:r>
        <w:t xml:space="preserve"> (</w:t>
      </w:r>
      <w:r>
        <w:rPr>
          <w:i/>
        </w:rPr>
        <w:t xml:space="preserve">Software </w:t>
      </w:r>
      <w:r>
        <w:rPr>
          <w:i/>
        </w:rPr>
        <w:t xml:space="preserve">Engineering</w:t>
      </w:r>
      <w:r>
        <w:rPr>
          <w:i/>
        </w:rPr>
        <w:t xml:space="preserve"> – </w:t>
      </w:r>
      <w:r>
        <w:rPr>
          <w:i/>
        </w:rPr>
        <w:t xml:space="preserve">Product</w:t>
      </w:r>
      <w:r>
        <w:rPr>
          <w:i/>
        </w:rPr>
        <w:t xml:space="preserve"> </w:t>
      </w:r>
      <w:r>
        <w:rPr>
          <w:i/>
        </w:rPr>
        <w:t xml:space="preserve">Quality</w:t>
      </w:r>
      <w:r>
        <w:t xml:space="preserve">),</w:t>
      </w:r>
      <w:r>
        <w:t xml:space="preserve"> que ofrecía un modelo de calidad del producto software</w:t>
      </w:r>
      <w:r>
        <w:t xml:space="preserve">,</w:t>
      </w:r>
      <w:r>
        <w:t xml:space="preserve"> y en </w:t>
      </w:r>
      <w:r>
        <w:rPr>
          <w:b/>
        </w:rPr>
        <w:t xml:space="preserve">ISO/IEC 14598</w:t>
      </w:r>
      <w:r>
        <w:t xml:space="preserve"> (</w:t>
      </w:r>
      <w:r>
        <w:rPr>
          <w:i/>
        </w:rPr>
        <w:t xml:space="preserve">Information</w:t>
      </w:r>
      <w:r>
        <w:rPr>
          <w:i/>
        </w:rPr>
        <w:t xml:space="preserve"> </w:t>
      </w:r>
      <w:r>
        <w:rPr>
          <w:i/>
        </w:rPr>
        <w:t xml:space="preserve">Technology</w:t>
      </w:r>
      <w:r>
        <w:rPr>
          <w:i/>
        </w:rPr>
        <w:t xml:space="preserve"> – Software </w:t>
      </w:r>
      <w:r>
        <w:rPr>
          <w:i/>
        </w:rPr>
        <w:t xml:space="preserve">Product</w:t>
      </w:r>
      <w:r>
        <w:rPr>
          <w:i/>
        </w:rPr>
        <w:t xml:space="preserve"> </w:t>
      </w:r>
      <w:r>
        <w:rPr>
          <w:i/>
        </w:rPr>
        <w:t xml:space="preserve">Evaluation</w:t>
      </w:r>
      <w:r>
        <w:t xml:space="preserve">),</w:t>
      </w:r>
      <w:r>
        <w:t xml:space="preserve"> que se centra en la evaluación del producto software</w:t>
      </w:r>
      <w:r>
        <w:t xml:space="preserve">. </w:t>
      </w:r>
      <w:r>
        <w:rPr>
          <w:b/>
        </w:rPr>
        <w:t xml:space="preserve">El objetivo de </w:t>
      </w:r>
      <w:r>
        <w:rPr>
          <w:b/>
        </w:rPr>
        <w:t xml:space="preserve">SQuaRE</w:t>
      </w:r>
      <w:r>
        <w:rPr>
          <w:b/>
        </w:rPr>
        <w:t xml:space="preserve"> es la construcción de un marco común de referencia para evaluar la calidad del producto software.</w:t>
      </w:r>
      <w:r/>
    </w:p>
    <w:p>
      <w:r/>
      <w:r/>
    </w:p>
    <w:p>
      <w:r>
        <w:t xml:space="preserve">A su vez, ISO/IEC 25000 se descompone en </w:t>
      </w:r>
      <w:r>
        <w:rPr>
          <w:b/>
        </w:rPr>
        <w:t xml:space="preserve">cinco grandes divisiones</w:t>
      </w:r>
      <w:r>
        <w:t xml:space="preserve">, como se aprecia en la </w:t>
      </w:r>
      <w:r>
        <w:t xml:space="preserve">f</w:t>
      </w:r>
      <w:r>
        <w:t xml:space="preserve">igura 6. Cada una de ellas está constituida por diferentes normas que tratan aspectos específicos, y que se resumen en la </w:t>
      </w:r>
      <w:r>
        <w:t xml:space="preserve">t</w:t>
      </w:r>
      <w:r>
        <w:t xml:space="preserve">abla 2.</w:t>
      </w:r>
      <w:r/>
    </w:p>
    <w:p>
      <w:pPr>
        <w:rPr>
          <w:rFonts w:cs="UnitOT-Light"/>
          <w:iCs/>
          <w:color w:val="595959"/>
          <w:sz w:val="19"/>
          <w:szCs w:val="18"/>
        </w:rPr>
      </w:pPr>
      <w:r>
        <w:rPr>
          <w:rFonts w:cs="UnitOT-Light"/>
          <w:iCs/>
          <w:color w:val="595959"/>
          <w:sz w:val="19"/>
          <w:szCs w:val="18"/>
        </w:rPr>
      </w:r>
      <w:r/>
    </w:p>
    <w:p>
      <w:pPr>
        <w:jc w:val="center"/>
      </w:pPr>
      <w:r>
        <mc:AlternateContent>
          <mc:Choice Requires="wpg">
            <w:drawing>
              <wp:inline xmlns:wp="http://schemas.openxmlformats.org/drawingml/2006/wordprocessingDrawing" distT="0" distB="0" distL="0" distR="0">
                <wp:extent cx="4320000" cy="2960000"/>
                <wp:effectExtent l="0" t="0" r="4445" b="0"/>
                <wp:docPr id="31"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5.png" hidden="0"/>
                        <pic:cNvPicPr>
                          <a:picLocks noChangeAspect="1"/>
                        </pic:cNvPicPr>
                      </pic:nvPicPr>
                      <pic:blipFill>
                        <a:blip r:embed="rId22"/>
                        <a:stretch/>
                      </pic:blipFill>
                      <pic:spPr bwMode="auto">
                        <a:xfrm>
                          <a:off x="0" y="0"/>
                          <a:ext cx="4320000" cy="296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40.2pt;height:233.1pt;" stroked="false">
                <v:path textboxrect="0,0,0,0"/>
                <v:imagedata r:id="rId22" o:title=""/>
              </v:shape>
            </w:pict>
          </mc:Fallback>
        </mc:AlternateContent>
      </w:r>
      <w:r/>
    </w:p>
    <w:p>
      <w:pPr>
        <w:pStyle w:val="478"/>
      </w:pPr>
      <w:r/>
      <w:bookmarkStart w:id="14" w:name="_Ref527900030"/>
      <w:r>
        <w:t xml:space="preserve">Figura </w:t>
      </w:r>
      <w:r>
        <w:fldChar w:fldCharType="begin"/>
      </w:r>
      <w:r>
        <w:instrText xml:space="preserve"> SEQ Figura \* ARABIC </w:instrText>
      </w:r>
      <w:r>
        <w:fldChar w:fldCharType="separate"/>
      </w:r>
      <w:r>
        <w:t xml:space="preserve">6</w:t>
      </w:r>
      <w:r>
        <w:fldChar w:fldCharType="end"/>
      </w:r>
      <w:bookmarkEnd w:id="14"/>
      <w:r>
        <w:t xml:space="preserve">. Organización de </w:t>
      </w:r>
      <w:r>
        <w:t xml:space="preserve">SQuaRE</w:t>
      </w:r>
      <w:r>
        <w:t xml:space="preserve"> en familias de normas, también llamadas divisiones.</w:t>
      </w:r>
      <w:r>
        <w:t xml:space="preserve"> </w:t>
      </w:r>
      <w:r>
        <w:t xml:space="preserve">Fuente:</w:t>
      </w:r>
      <w:r>
        <w:t xml:space="preserve"> ISO (2017)</w:t>
      </w:r>
      <w:r/>
    </w:p>
    <w:p>
      <w:r/>
      <w:r/>
    </w:p>
    <w:p>
      <w:pPr>
        <w:sectPr>
          <w:footnotePr/>
          <w:type w:val="nextPage"/>
          <w:pgSz w:w="11906" w:h="16838" w:orient="portrait"/>
          <w:pgMar w:top="1418" w:right="1843" w:bottom="1418" w:left="1843" w:header="1134" w:footer="397"/>
          <w:cols w:num="1" w:sep="0" w:space="708" w:equalWidth="1"/>
          <w:docGrid w:linePitch="360"/>
        </w:sectPr>
      </w:pPr>
      <w:r/>
      <w:r/>
    </w:p>
    <w:tbl>
      <w:tblPr>
        <w:tblStyle w:val="498"/>
        <w:tblpPr w:horzAnchor="text" w:tblpXSpec="left" w:vertAnchor="text" w:tblpY="404" w:leftFromText="141" w:topFromText="0" w:rightFromText="141" w:bottomFromText="0"/>
        <w:tblW w:w="5000" w:type="pct"/>
        <w:tblLook w:val="04A0" w:firstRow="1" w:lastRow="0" w:firstColumn="1" w:lastColumn="0" w:noHBand="0" w:noVBand="1"/>
      </w:tblPr>
      <w:tblGrid>
        <w:gridCol w:w="1300"/>
        <w:gridCol w:w="2711"/>
        <w:gridCol w:w="4199"/>
      </w:tblGrid>
      <w:tr>
        <w:trPr/>
        <w:tc>
          <w:tcPr>
            <w:tcW w:w="792" w:type="pct"/>
            <w:vAlign w:val="center"/>
            <w:textDirection w:val="lrTb"/>
            <w:noWrap w:val="false"/>
          </w:tcPr>
          <w:p>
            <w:pPr>
              <w:jc w:val="center"/>
              <w:rPr>
                <w:rFonts w:cs="Calibri"/>
                <w:b/>
                <w:color w:val="FFFFFF"/>
                <w:sz w:val="22"/>
                <w:szCs w:val="22"/>
              </w:rPr>
            </w:pPr>
            <w:r>
              <w:rPr>
                <w:rFonts w:cs="Calibri"/>
                <w:b/>
                <w:color w:val="FFFFFF" w:themeColor="background1"/>
                <w:sz w:val="22"/>
                <w:szCs w:val="22"/>
              </w:rPr>
              <w:t xml:space="preserve">NORMA</w:t>
            </w:r>
            <w:r>
              <w:rPr>
                <w:rFonts w:cs="Calibri"/>
                <w:b/>
                <w:color w:val="FFFFFF" w:themeColor="background1"/>
                <w:sz w:val="22"/>
                <w:szCs w:val="22"/>
              </w:rPr>
              <w:t xml:space="preserve"> ISO/IEC</w:t>
            </w:r>
            <w:r/>
          </w:p>
        </w:tc>
        <w:tc>
          <w:tcPr>
            <w:tcW w:w="1651" w:type="pct"/>
            <w:vAlign w:val="center"/>
            <w:textDirection w:val="lrTb"/>
            <w:noWrap w:val="false"/>
          </w:tcPr>
          <w:p>
            <w:pPr>
              <w:jc w:val="center"/>
              <w:rPr>
                <w:rFonts w:cs="Calibri"/>
                <w:b/>
                <w:color w:val="FFFFFF"/>
                <w:sz w:val="22"/>
                <w:szCs w:val="22"/>
              </w:rPr>
            </w:pPr>
            <w:r>
              <w:rPr>
                <w:rFonts w:cs="Calibri"/>
                <w:b/>
                <w:color w:val="FFFFFF" w:themeColor="background1"/>
                <w:sz w:val="22"/>
                <w:szCs w:val="22"/>
              </w:rPr>
              <w:t xml:space="preserve">DENOMINACIÓN</w:t>
            </w:r>
            <w:r/>
          </w:p>
        </w:tc>
        <w:tc>
          <w:tcPr>
            <w:tcW w:w="2557" w:type="pct"/>
            <w:vAlign w:val="center"/>
            <w:textDirection w:val="lrTb"/>
            <w:noWrap w:val="false"/>
          </w:tcPr>
          <w:p>
            <w:pPr>
              <w:jc w:val="center"/>
              <w:rPr>
                <w:rFonts w:cs="Calibri"/>
                <w:b/>
                <w:color w:val="FFFFFF"/>
                <w:sz w:val="22"/>
                <w:szCs w:val="22"/>
              </w:rPr>
            </w:pPr>
            <w:r>
              <w:rPr>
                <w:rFonts w:cs="Calibri"/>
                <w:b/>
                <w:color w:val="FFFFFF" w:themeColor="background1"/>
                <w:sz w:val="22"/>
                <w:szCs w:val="22"/>
              </w:rPr>
              <w:t xml:space="preserve">DESCRIPCIÓN</w:t>
            </w:r>
            <w:r/>
          </w:p>
        </w:tc>
      </w:tr>
      <w:tr>
        <w:trPr/>
        <w:tc>
          <w:tcPr>
            <w:tcW w:w="792" w:type="pct"/>
            <w:textDirection w:val="lrTb"/>
            <w:noWrap w:val="false"/>
          </w:tcPr>
          <w:p>
            <w:pPr>
              <w:jc w:val="left"/>
              <w:rPr>
                <w:rFonts w:cs="Calibri"/>
                <w:b/>
                <w:sz w:val="20"/>
                <w:szCs w:val="20"/>
              </w:rPr>
            </w:pPr>
            <w:r>
              <w:rPr>
                <w:rFonts w:cs="Calibri"/>
                <w:b/>
                <w:sz w:val="20"/>
                <w:szCs w:val="20"/>
              </w:rPr>
              <w:t xml:space="preserve">2500x</w:t>
            </w:r>
            <w:r/>
          </w:p>
        </w:tc>
        <w:tc>
          <w:tcPr>
            <w:tcW w:w="1651" w:type="pct"/>
            <w:textDirection w:val="lrTb"/>
            <w:noWrap w:val="false"/>
          </w:tcPr>
          <w:p>
            <w:pPr>
              <w:jc w:val="left"/>
              <w:rPr>
                <w:rFonts w:cs="Calibri"/>
                <w:b/>
                <w:sz w:val="20"/>
                <w:szCs w:val="20"/>
              </w:rPr>
            </w:pPr>
            <w:r>
              <w:rPr>
                <w:rFonts w:cs="Calibri"/>
                <w:b/>
                <w:sz w:val="20"/>
                <w:szCs w:val="20"/>
              </w:rPr>
              <w:t xml:space="preserve">División </w:t>
            </w:r>
            <w:r>
              <w:rPr>
                <w:rFonts w:cs="Calibri"/>
                <w:b/>
                <w:sz w:val="20"/>
                <w:szCs w:val="20"/>
              </w:rPr>
              <w:t xml:space="preserve">de</w:t>
            </w:r>
            <w:r>
              <w:rPr>
                <w:rFonts w:cs="Calibri"/>
                <w:b/>
                <w:sz w:val="20"/>
                <w:szCs w:val="20"/>
              </w:rPr>
              <w:t xml:space="preserve"> gestión de la calidad</w:t>
            </w:r>
            <w:r/>
          </w:p>
        </w:tc>
        <w:tc>
          <w:tcPr>
            <w:tcW w:w="2557" w:type="pct"/>
            <w:textDirection w:val="lrTb"/>
            <w:noWrap w:val="false"/>
          </w:tcPr>
          <w:p>
            <w:pPr>
              <w:jc w:val="left"/>
              <w:rPr>
                <w:rFonts w:cs="Calibri"/>
                <w:sz w:val="20"/>
                <w:szCs w:val="20"/>
              </w:rPr>
            </w:pPr>
            <w:r>
              <w:rPr>
                <w:sz w:val="20"/>
                <w:szCs w:val="20"/>
              </w:rPr>
              <w:t xml:space="preserve">C</w:t>
            </w:r>
            <w:r>
              <w:rPr>
                <w:sz w:val="20"/>
                <w:szCs w:val="20"/>
              </w:rPr>
              <w:t xml:space="preserve">ontiene términos y definiciones comunes que se emplean por el resto de las normas de la familia</w:t>
            </w:r>
            <w:r>
              <w:rPr>
                <w:sz w:val="20"/>
                <w:szCs w:val="20"/>
              </w:rPr>
              <w:t xml:space="preserve">.</w:t>
            </w:r>
            <w:r/>
          </w:p>
        </w:tc>
      </w:tr>
      <w:tr>
        <w:trPr/>
        <w:tc>
          <w:tcPr>
            <w:tcBorders>
              <w:bottom w:val="single" w:color="0098CD" w:sz="4" w:space="0"/>
            </w:tcBorders>
            <w:tcW w:w="792" w:type="pct"/>
            <w:textDirection w:val="lrTb"/>
            <w:noWrap w:val="false"/>
          </w:tcPr>
          <w:p>
            <w:pPr>
              <w:jc w:val="right"/>
              <w:rPr>
                <w:rFonts w:cs="Calibri"/>
                <w:sz w:val="20"/>
                <w:szCs w:val="20"/>
              </w:rPr>
            </w:pPr>
            <w:r>
              <w:rPr>
                <w:sz w:val="20"/>
                <w:szCs w:val="20"/>
              </w:rPr>
              <w:t xml:space="preserve">25000</w:t>
            </w:r>
            <w:r>
              <w:rPr>
                <w:sz w:val="20"/>
                <w:szCs w:val="20"/>
              </w:rPr>
              <w:t xml:space="preserve">:2014</w:t>
            </w:r>
            <w:r/>
          </w:p>
        </w:tc>
        <w:tc>
          <w:tcPr>
            <w:tcBorders>
              <w:bottom w:val="single" w:color="0098CD" w:sz="4" w:space="0"/>
            </w:tcBorders>
            <w:tcW w:w="1651" w:type="pct"/>
            <w:textDirection w:val="lrTb"/>
            <w:noWrap w:val="false"/>
          </w:tcPr>
          <w:p>
            <w:pPr>
              <w:jc w:val="left"/>
              <w:rPr>
                <w:rFonts w:cs="Calibri"/>
                <w:i/>
                <w:sz w:val="20"/>
                <w:szCs w:val="20"/>
              </w:rPr>
            </w:pPr>
            <w:r>
              <w:rPr>
                <w:i/>
                <w:sz w:val="20"/>
                <w:szCs w:val="20"/>
              </w:rPr>
              <w:t xml:space="preserve">Guide</w:t>
            </w:r>
            <w:r>
              <w:rPr>
                <w:i/>
                <w:sz w:val="20"/>
                <w:szCs w:val="20"/>
              </w:rPr>
              <w:t xml:space="preserve"> </w:t>
            </w:r>
            <w:r>
              <w:rPr>
                <w:i/>
                <w:sz w:val="20"/>
                <w:szCs w:val="20"/>
              </w:rPr>
              <w:t xml:space="preserve">to</w:t>
            </w:r>
            <w:r>
              <w:rPr>
                <w:i/>
                <w:sz w:val="20"/>
                <w:szCs w:val="20"/>
              </w:rPr>
              <w:t xml:space="preserve"> </w:t>
            </w:r>
            <w:r>
              <w:rPr>
                <w:i/>
                <w:sz w:val="20"/>
                <w:szCs w:val="20"/>
              </w:rPr>
              <w:t xml:space="preserve">SQuaRE</w:t>
            </w:r>
            <w:r/>
          </w:p>
        </w:tc>
        <w:tc>
          <w:tcPr>
            <w:tcBorders>
              <w:bottom w:val="single" w:color="0098CD" w:sz="4" w:space="0"/>
            </w:tcBorders>
            <w:tcW w:w="2557" w:type="pct"/>
            <w:textDirection w:val="lrTb"/>
            <w:noWrap w:val="false"/>
          </w:tcPr>
          <w:p>
            <w:pPr>
              <w:jc w:val="left"/>
              <w:rPr>
                <w:rFonts w:cs="Calibri"/>
                <w:sz w:val="20"/>
                <w:szCs w:val="20"/>
              </w:rPr>
            </w:pPr>
            <w:r>
              <w:rPr>
                <w:sz w:val="20"/>
                <w:szCs w:val="20"/>
              </w:rPr>
              <w:t xml:space="preserve">C</w:t>
            </w:r>
            <w:r>
              <w:rPr>
                <w:sz w:val="20"/>
                <w:szCs w:val="20"/>
              </w:rPr>
              <w:t xml:space="preserve">ontiene el modelo de la arquitectura de </w:t>
            </w:r>
            <w:r>
              <w:rPr>
                <w:sz w:val="20"/>
                <w:szCs w:val="20"/>
              </w:rPr>
              <w:t xml:space="preserve">SQuaRE</w:t>
            </w:r>
            <w:r>
              <w:rPr>
                <w:sz w:val="20"/>
                <w:szCs w:val="20"/>
              </w:rPr>
              <w:t xml:space="preserve">, terminología, un resumen de las partes y modelos de referencia</w:t>
            </w:r>
            <w:r>
              <w:rPr>
                <w:sz w:val="20"/>
                <w:szCs w:val="20"/>
              </w:rPr>
              <w:t xml:space="preserve">.</w:t>
            </w:r>
            <w:r/>
          </w:p>
        </w:tc>
      </w:tr>
      <w:tr>
        <w:trPr/>
        <w:tc>
          <w:tcPr>
            <w:tcBorders>
              <w:bottom w:val="single" w:color="0097CE" w:sz="24" w:space="0"/>
            </w:tcBorders>
            <w:tcW w:w="792" w:type="pct"/>
            <w:textDirection w:val="lrTb"/>
            <w:noWrap w:val="false"/>
          </w:tcPr>
          <w:p>
            <w:pPr>
              <w:jc w:val="right"/>
              <w:rPr>
                <w:rFonts w:cs="Calibri"/>
                <w:sz w:val="20"/>
                <w:szCs w:val="20"/>
              </w:rPr>
            </w:pPr>
            <w:r>
              <w:rPr>
                <w:sz w:val="20"/>
                <w:szCs w:val="20"/>
              </w:rPr>
              <w:t xml:space="preserve">25001</w:t>
            </w:r>
            <w:r>
              <w:rPr>
                <w:sz w:val="20"/>
                <w:szCs w:val="20"/>
              </w:rPr>
              <w:t xml:space="preserve">:2014</w:t>
            </w:r>
            <w:r/>
          </w:p>
        </w:tc>
        <w:tc>
          <w:tcPr>
            <w:tcBorders>
              <w:bottom w:val="single" w:color="0097CE" w:sz="24" w:space="0"/>
            </w:tcBorders>
            <w:tcW w:w="1651" w:type="pct"/>
            <w:textDirection w:val="lrTb"/>
            <w:noWrap w:val="false"/>
          </w:tcPr>
          <w:p>
            <w:pPr>
              <w:jc w:val="left"/>
              <w:rPr>
                <w:rFonts w:cs="Calibri"/>
                <w:i/>
                <w:sz w:val="20"/>
                <w:szCs w:val="20"/>
              </w:rPr>
            </w:pPr>
            <w:r>
              <w:rPr>
                <w:i/>
                <w:sz w:val="20"/>
                <w:szCs w:val="20"/>
              </w:rPr>
              <w:t xml:space="preserve">Planning</w:t>
            </w:r>
            <w:r>
              <w:rPr>
                <w:i/>
                <w:sz w:val="20"/>
                <w:szCs w:val="20"/>
              </w:rPr>
              <w:t xml:space="preserve"> and </w:t>
            </w:r>
            <w:r>
              <w:rPr>
                <w:i/>
                <w:sz w:val="20"/>
                <w:szCs w:val="20"/>
              </w:rPr>
              <w:t xml:space="preserve">m</w:t>
            </w:r>
            <w:r>
              <w:rPr>
                <w:i/>
                <w:sz w:val="20"/>
                <w:szCs w:val="20"/>
              </w:rPr>
              <w:t xml:space="preserve">anagement</w:t>
            </w:r>
            <w:r/>
          </w:p>
        </w:tc>
        <w:tc>
          <w:tcPr>
            <w:tcBorders>
              <w:bottom w:val="single" w:color="0097CE" w:sz="24" w:space="0"/>
            </w:tcBorders>
            <w:tcW w:w="2557" w:type="pct"/>
            <w:textDirection w:val="lrTb"/>
            <w:noWrap w:val="false"/>
          </w:tcPr>
          <w:p>
            <w:pPr>
              <w:jc w:val="left"/>
              <w:rPr>
                <w:rFonts w:cs="Calibri"/>
                <w:sz w:val="20"/>
                <w:szCs w:val="20"/>
              </w:rPr>
            </w:pPr>
            <w:r>
              <w:rPr>
                <w:sz w:val="20"/>
                <w:szCs w:val="20"/>
              </w:rPr>
              <w:t xml:space="preserve">C</w:t>
            </w:r>
            <w:r>
              <w:rPr>
                <w:sz w:val="20"/>
                <w:szCs w:val="20"/>
              </w:rPr>
              <w:t xml:space="preserve">ontiene orientaciones para gestionar la evaluación de los requisitos del producto de software</w:t>
            </w:r>
            <w:r>
              <w:rPr>
                <w:sz w:val="20"/>
                <w:szCs w:val="20"/>
              </w:rPr>
              <w:t xml:space="preserve">.</w:t>
            </w:r>
            <w:r/>
          </w:p>
        </w:tc>
      </w:tr>
      <w:tr>
        <w:trPr/>
        <w:tc>
          <w:tcPr>
            <w:tcBorders>
              <w:top w:val="single" w:color="0097CE" w:sz="24" w:space="0"/>
            </w:tcBorders>
            <w:tcW w:w="792" w:type="pct"/>
            <w:textDirection w:val="lrTb"/>
            <w:noWrap w:val="false"/>
          </w:tcPr>
          <w:p>
            <w:pPr>
              <w:jc w:val="left"/>
              <w:rPr>
                <w:rFonts w:cs="Calibri"/>
                <w:b/>
                <w:sz w:val="20"/>
                <w:szCs w:val="20"/>
              </w:rPr>
            </w:pPr>
            <w:r>
              <w:rPr>
                <w:b/>
                <w:sz w:val="20"/>
                <w:szCs w:val="20"/>
              </w:rPr>
              <w:t xml:space="preserve">2501x</w:t>
            </w:r>
            <w:r/>
          </w:p>
        </w:tc>
        <w:tc>
          <w:tcPr>
            <w:tcBorders>
              <w:top w:val="single" w:color="0097CE" w:sz="24" w:space="0"/>
            </w:tcBorders>
            <w:tcW w:w="1651" w:type="pct"/>
            <w:textDirection w:val="lrTb"/>
            <w:noWrap w:val="false"/>
          </w:tcPr>
          <w:p>
            <w:pPr>
              <w:jc w:val="left"/>
              <w:rPr>
                <w:rFonts w:cs="Calibri"/>
                <w:b/>
                <w:sz w:val="20"/>
                <w:szCs w:val="20"/>
              </w:rPr>
            </w:pPr>
            <w:r>
              <w:rPr>
                <w:rFonts w:cs="Calibri"/>
                <w:b/>
                <w:sz w:val="20"/>
                <w:szCs w:val="20"/>
              </w:rPr>
              <w:t xml:space="preserve">División </w:t>
            </w:r>
            <w:r>
              <w:rPr>
                <w:rFonts w:cs="Calibri"/>
                <w:b/>
                <w:sz w:val="20"/>
                <w:szCs w:val="20"/>
              </w:rPr>
              <w:t xml:space="preserve">de</w:t>
            </w:r>
            <w:r>
              <w:rPr>
                <w:rFonts w:cs="Calibri"/>
                <w:b/>
                <w:sz w:val="20"/>
                <w:szCs w:val="20"/>
              </w:rPr>
              <w:t xml:space="preserve"> modelo de calidad</w:t>
            </w:r>
            <w:r/>
          </w:p>
        </w:tc>
        <w:tc>
          <w:tcPr>
            <w:tcBorders>
              <w:top w:val="single" w:color="0097CE" w:sz="24" w:space="0"/>
            </w:tcBorders>
            <w:tcW w:w="2557" w:type="pct"/>
            <w:textDirection w:val="lrTb"/>
            <w:noWrap w:val="false"/>
          </w:tcPr>
          <w:p>
            <w:pPr>
              <w:jc w:val="left"/>
              <w:rPr>
                <w:rFonts w:cs="Calibri"/>
                <w:sz w:val="20"/>
                <w:szCs w:val="20"/>
              </w:rPr>
            </w:pPr>
            <w:r>
              <w:rPr>
                <w:sz w:val="20"/>
                <w:szCs w:val="20"/>
              </w:rPr>
              <w:t xml:space="preserve">O</w:t>
            </w:r>
            <w:r>
              <w:rPr>
                <w:sz w:val="20"/>
                <w:szCs w:val="20"/>
              </w:rPr>
              <w:t xml:space="preserve">frece modelos de calidad detallados, definiendo características para evaluar la calidad del producto</w:t>
            </w:r>
            <w:r>
              <w:rPr>
                <w:sz w:val="20"/>
                <w:szCs w:val="20"/>
              </w:rPr>
              <w:t xml:space="preserve">.</w:t>
            </w:r>
            <w:r/>
          </w:p>
        </w:tc>
      </w:tr>
      <w:tr>
        <w:trPr/>
        <w:tc>
          <w:tcPr>
            <w:tcBorders>
              <w:bottom w:val="single" w:color="0098CD" w:sz="4" w:space="0"/>
            </w:tcBorders>
            <w:tcW w:w="792" w:type="pct"/>
            <w:textDirection w:val="lrTb"/>
            <w:noWrap w:val="false"/>
          </w:tcPr>
          <w:p>
            <w:pPr>
              <w:jc w:val="right"/>
              <w:rPr>
                <w:rFonts w:cs="Calibri"/>
                <w:sz w:val="20"/>
                <w:szCs w:val="20"/>
              </w:rPr>
            </w:pPr>
            <w:r>
              <w:rPr>
                <w:sz w:val="20"/>
                <w:szCs w:val="20"/>
              </w:rPr>
              <w:t xml:space="preserve">25010</w:t>
            </w:r>
            <w:r>
              <w:rPr>
                <w:sz w:val="20"/>
                <w:szCs w:val="20"/>
              </w:rPr>
              <w:t xml:space="preserve">:2011</w:t>
            </w:r>
            <w:r/>
          </w:p>
        </w:tc>
        <w:tc>
          <w:tcPr>
            <w:tcBorders>
              <w:bottom w:val="single" w:color="0098CD" w:sz="4" w:space="0"/>
            </w:tcBorders>
            <w:tcW w:w="1651" w:type="pct"/>
            <w:textDirection w:val="lrTb"/>
            <w:noWrap w:val="false"/>
          </w:tcPr>
          <w:p>
            <w:pPr>
              <w:jc w:val="left"/>
              <w:rPr>
                <w:rFonts w:cs="Calibri"/>
                <w:i/>
                <w:sz w:val="20"/>
                <w:szCs w:val="20"/>
                <w:lang w:val="en-US"/>
              </w:rPr>
            </w:pPr>
            <w:r>
              <w:rPr>
                <w:i/>
                <w:sz w:val="20"/>
                <w:szCs w:val="20"/>
                <w:lang w:val="en-US"/>
              </w:rPr>
              <w:t xml:space="preserve">System and software quality models</w:t>
            </w:r>
            <w:r/>
          </w:p>
        </w:tc>
        <w:tc>
          <w:tcPr>
            <w:tcBorders>
              <w:bottom w:val="single" w:color="0098CD" w:sz="4" w:space="0"/>
            </w:tcBorders>
            <w:tcW w:w="2557" w:type="pct"/>
            <w:textDirection w:val="lrTb"/>
            <w:noWrap w:val="false"/>
          </w:tcPr>
          <w:p>
            <w:pPr>
              <w:jc w:val="left"/>
              <w:rPr>
                <w:rFonts w:cs="Calibri"/>
                <w:sz w:val="20"/>
                <w:szCs w:val="20"/>
              </w:rPr>
            </w:pPr>
            <w:r>
              <w:rPr>
                <w:sz w:val="20"/>
                <w:szCs w:val="20"/>
              </w:rPr>
              <w:t xml:space="preserve">C</w:t>
            </w:r>
            <w:r>
              <w:rPr>
                <w:sz w:val="20"/>
                <w:szCs w:val="20"/>
              </w:rPr>
              <w:t xml:space="preserve">ontiene el modelo de calidad del producto, y define las características que deben evaluarse</w:t>
            </w:r>
            <w:r>
              <w:rPr>
                <w:sz w:val="20"/>
                <w:szCs w:val="20"/>
              </w:rPr>
              <w:t xml:space="preserve">.</w:t>
            </w:r>
            <w:r/>
          </w:p>
        </w:tc>
      </w:tr>
      <w:tr>
        <w:trPr/>
        <w:tc>
          <w:tcPr>
            <w:tcBorders>
              <w:bottom w:val="single" w:color="0098CD" w:sz="4" w:space="0"/>
            </w:tcBorders>
            <w:tcW w:w="792" w:type="pct"/>
            <w:textDirection w:val="lrTb"/>
            <w:noWrap w:val="false"/>
          </w:tcPr>
          <w:p>
            <w:pPr>
              <w:jc w:val="right"/>
              <w:rPr>
                <w:sz w:val="20"/>
                <w:szCs w:val="20"/>
              </w:rPr>
            </w:pPr>
            <w:r>
              <w:rPr>
                <w:sz w:val="20"/>
                <w:szCs w:val="20"/>
              </w:rPr>
              <w:t xml:space="preserve">25011:2017</w:t>
            </w:r>
            <w:r/>
          </w:p>
        </w:tc>
        <w:tc>
          <w:tcPr>
            <w:tcBorders>
              <w:bottom w:val="single" w:color="0098CD" w:sz="4" w:space="0"/>
            </w:tcBorders>
            <w:tcW w:w="1651" w:type="pct"/>
            <w:textDirection w:val="lrTb"/>
            <w:noWrap w:val="false"/>
          </w:tcPr>
          <w:p>
            <w:pPr>
              <w:jc w:val="left"/>
              <w:rPr>
                <w:i/>
                <w:sz w:val="20"/>
                <w:szCs w:val="20"/>
                <w:lang w:val="en-US"/>
              </w:rPr>
            </w:pPr>
            <w:r>
              <w:rPr>
                <w:i/>
                <w:sz w:val="20"/>
                <w:szCs w:val="20"/>
                <w:lang w:val="en-US"/>
              </w:rPr>
              <w:t xml:space="preserve">Service quality models</w:t>
            </w:r>
            <w:r/>
          </w:p>
        </w:tc>
        <w:tc>
          <w:tcPr>
            <w:tcBorders>
              <w:bottom w:val="single" w:color="0098CD" w:sz="4" w:space="0"/>
            </w:tcBorders>
            <w:tcW w:w="2557" w:type="pct"/>
            <w:textDirection w:val="lrTb"/>
            <w:noWrap w:val="false"/>
          </w:tcPr>
          <w:p>
            <w:pPr>
              <w:jc w:val="left"/>
              <w:rPr>
                <w:sz w:val="20"/>
                <w:szCs w:val="20"/>
              </w:rPr>
            </w:pPr>
            <w:r>
              <w:rPr>
                <w:sz w:val="20"/>
                <w:szCs w:val="20"/>
              </w:rPr>
              <w:t xml:space="preserve">Define un modelo específico para representar la calidad de los servicios que desarrollamos.</w:t>
            </w:r>
            <w:r/>
          </w:p>
        </w:tc>
      </w:tr>
      <w:tr>
        <w:trPr/>
        <w:tc>
          <w:tcPr>
            <w:tcBorders>
              <w:bottom w:val="single" w:color="0097CE" w:sz="24" w:space="0"/>
            </w:tcBorders>
            <w:tcW w:w="792" w:type="pct"/>
            <w:textDirection w:val="lrTb"/>
            <w:noWrap w:val="false"/>
          </w:tcPr>
          <w:p>
            <w:pPr>
              <w:jc w:val="right"/>
              <w:rPr>
                <w:rFonts w:cs="Calibri"/>
                <w:sz w:val="20"/>
                <w:szCs w:val="20"/>
              </w:rPr>
            </w:pPr>
            <w:r>
              <w:rPr>
                <w:sz w:val="20"/>
                <w:szCs w:val="20"/>
              </w:rPr>
              <w:t xml:space="preserve">25012</w:t>
            </w:r>
            <w:r>
              <w:rPr>
                <w:sz w:val="20"/>
                <w:szCs w:val="20"/>
              </w:rPr>
              <w:t xml:space="preserve">:2008</w:t>
            </w:r>
            <w:r/>
          </w:p>
        </w:tc>
        <w:tc>
          <w:tcPr>
            <w:tcBorders>
              <w:bottom w:val="single" w:color="0097CE" w:sz="24" w:space="0"/>
            </w:tcBorders>
            <w:tcW w:w="1651" w:type="pct"/>
            <w:textDirection w:val="lrTb"/>
            <w:noWrap w:val="false"/>
          </w:tcPr>
          <w:p>
            <w:pPr>
              <w:jc w:val="left"/>
              <w:rPr>
                <w:rFonts w:cs="Calibri"/>
                <w:i/>
                <w:sz w:val="20"/>
                <w:szCs w:val="20"/>
              </w:rPr>
            </w:pPr>
            <w:r>
              <w:rPr>
                <w:i/>
                <w:sz w:val="20"/>
                <w:szCs w:val="20"/>
              </w:rPr>
              <w:t xml:space="preserve">Data </w:t>
            </w:r>
            <w:r>
              <w:rPr>
                <w:i/>
                <w:sz w:val="20"/>
                <w:szCs w:val="20"/>
              </w:rPr>
              <w:t xml:space="preserve">q</w:t>
            </w:r>
            <w:r>
              <w:rPr>
                <w:i/>
                <w:sz w:val="20"/>
                <w:szCs w:val="20"/>
              </w:rPr>
              <w:t xml:space="preserve">uality</w:t>
            </w:r>
            <w:r>
              <w:rPr>
                <w:i/>
                <w:sz w:val="20"/>
                <w:szCs w:val="20"/>
              </w:rPr>
              <w:t xml:space="preserve"> </w:t>
            </w:r>
            <w:r>
              <w:rPr>
                <w:i/>
                <w:sz w:val="20"/>
                <w:szCs w:val="20"/>
              </w:rPr>
              <w:t xml:space="preserve">model</w:t>
            </w:r>
            <w:r/>
          </w:p>
        </w:tc>
        <w:tc>
          <w:tcPr>
            <w:tcBorders>
              <w:bottom w:val="single" w:color="0097CE" w:sz="24" w:space="0"/>
            </w:tcBorders>
            <w:tcW w:w="2557" w:type="pct"/>
            <w:textDirection w:val="lrTb"/>
            <w:noWrap w:val="false"/>
          </w:tcPr>
          <w:p>
            <w:pPr>
              <w:jc w:val="left"/>
              <w:rPr>
                <w:rFonts w:cs="Calibri"/>
                <w:sz w:val="20"/>
                <w:szCs w:val="20"/>
              </w:rPr>
            </w:pPr>
            <w:r>
              <w:rPr>
                <w:sz w:val="20"/>
                <w:szCs w:val="20"/>
              </w:rPr>
              <w:t xml:space="preserve">D</w:t>
            </w:r>
            <w:r>
              <w:rPr>
                <w:sz w:val="20"/>
                <w:szCs w:val="20"/>
              </w:rPr>
              <w:t xml:space="preserve">efine un modelo general para la calidad de los datos que se almacenan en el sistema</w:t>
            </w:r>
            <w:r>
              <w:rPr>
                <w:sz w:val="20"/>
                <w:szCs w:val="20"/>
              </w:rPr>
              <w:t xml:space="preserve">.</w:t>
            </w:r>
            <w:r/>
          </w:p>
        </w:tc>
      </w:tr>
      <w:tr>
        <w:trPr/>
        <w:tc>
          <w:tcPr>
            <w:tcBorders>
              <w:top w:val="single" w:color="0097CE" w:sz="24" w:space="0"/>
            </w:tcBorders>
            <w:tcW w:w="792" w:type="pct"/>
            <w:textDirection w:val="lrTb"/>
            <w:noWrap w:val="false"/>
          </w:tcPr>
          <w:p>
            <w:pPr>
              <w:jc w:val="left"/>
              <w:rPr>
                <w:rFonts w:cs="Calibri"/>
                <w:b/>
                <w:sz w:val="20"/>
                <w:szCs w:val="20"/>
              </w:rPr>
            </w:pPr>
            <w:r>
              <w:rPr>
                <w:b/>
                <w:sz w:val="20"/>
                <w:szCs w:val="20"/>
              </w:rPr>
              <w:t xml:space="preserve">2502x</w:t>
            </w:r>
            <w:r/>
          </w:p>
        </w:tc>
        <w:tc>
          <w:tcPr>
            <w:tcBorders>
              <w:top w:val="single" w:color="0097CE" w:sz="24" w:space="0"/>
            </w:tcBorders>
            <w:tcW w:w="1651" w:type="pct"/>
            <w:textDirection w:val="lrTb"/>
            <w:noWrap w:val="false"/>
          </w:tcPr>
          <w:p>
            <w:pPr>
              <w:jc w:val="left"/>
              <w:rPr>
                <w:rFonts w:cs="Calibri"/>
                <w:b/>
                <w:sz w:val="20"/>
                <w:szCs w:val="20"/>
              </w:rPr>
            </w:pPr>
            <w:r>
              <w:rPr>
                <w:rFonts w:cs="Calibri"/>
                <w:b/>
                <w:sz w:val="20"/>
                <w:szCs w:val="20"/>
              </w:rPr>
              <w:t xml:space="preserve">División </w:t>
            </w:r>
            <w:r>
              <w:rPr>
                <w:rFonts w:cs="Calibri"/>
                <w:b/>
                <w:sz w:val="20"/>
                <w:szCs w:val="20"/>
              </w:rPr>
              <w:t xml:space="preserve">de</w:t>
            </w:r>
            <w:r>
              <w:rPr>
                <w:rFonts w:cs="Calibri"/>
                <w:b/>
                <w:sz w:val="20"/>
                <w:szCs w:val="20"/>
              </w:rPr>
              <w:t xml:space="preserve"> medición de calidad</w:t>
            </w:r>
            <w:r/>
          </w:p>
        </w:tc>
        <w:tc>
          <w:tcPr>
            <w:tcBorders>
              <w:top w:val="single" w:color="0097CE" w:sz="24" w:space="0"/>
            </w:tcBorders>
            <w:tcW w:w="2557" w:type="pct"/>
            <w:textDirection w:val="lrTb"/>
            <w:noWrap w:val="false"/>
          </w:tcPr>
          <w:p>
            <w:pPr>
              <w:jc w:val="left"/>
              <w:rPr>
                <w:rFonts w:cs="Calibri"/>
                <w:sz w:val="20"/>
                <w:szCs w:val="20"/>
              </w:rPr>
            </w:pPr>
            <w:r>
              <w:rPr>
                <w:rFonts w:cs="Calibri"/>
                <w:sz w:val="20"/>
                <w:szCs w:val="20"/>
              </w:rPr>
              <w:t xml:space="preserve">Ofrece orientaciones para la medición de la calidad del producto, definiciones de medidas de calidad y guías prácticas de aplicación.</w:t>
            </w:r>
            <w:r/>
          </w:p>
        </w:tc>
      </w:tr>
      <w:tr>
        <w:trPr/>
        <w:tc>
          <w:tcPr>
            <w:tcW w:w="792" w:type="pct"/>
            <w:textDirection w:val="lrTb"/>
            <w:noWrap w:val="false"/>
          </w:tcPr>
          <w:p>
            <w:pPr>
              <w:jc w:val="right"/>
              <w:rPr>
                <w:rFonts w:cs="Calibri"/>
                <w:sz w:val="20"/>
                <w:szCs w:val="20"/>
              </w:rPr>
            </w:pPr>
            <w:r>
              <w:rPr>
                <w:sz w:val="20"/>
                <w:szCs w:val="20"/>
                <w:lang w:val="en-US"/>
              </w:rPr>
              <w:t xml:space="preserve">25020</w:t>
            </w:r>
            <w:r>
              <w:rPr>
                <w:sz w:val="20"/>
                <w:szCs w:val="20"/>
                <w:lang w:val="en-US"/>
              </w:rPr>
              <w:t xml:space="preserve">:2007</w:t>
            </w:r>
            <w:r/>
          </w:p>
        </w:tc>
        <w:tc>
          <w:tcPr>
            <w:tcW w:w="1651" w:type="pct"/>
            <w:textDirection w:val="lrTb"/>
            <w:noWrap w:val="false"/>
          </w:tcPr>
          <w:p>
            <w:pPr>
              <w:jc w:val="left"/>
              <w:rPr>
                <w:rFonts w:cs="Calibri"/>
                <w:i/>
                <w:sz w:val="20"/>
                <w:szCs w:val="20"/>
                <w:lang w:val="en-US"/>
              </w:rPr>
            </w:pPr>
            <w:r>
              <w:rPr>
                <w:rFonts w:cs="Calibri"/>
                <w:i/>
                <w:sz w:val="20"/>
                <w:szCs w:val="20"/>
                <w:lang w:val="en-US"/>
              </w:rPr>
              <w:t xml:space="preserve">Measurement reference model and guide</w:t>
            </w:r>
            <w:r/>
          </w:p>
        </w:tc>
        <w:tc>
          <w:tcPr>
            <w:tcW w:w="2557" w:type="pct"/>
            <w:textDirection w:val="lrTb"/>
            <w:noWrap w:val="false"/>
          </w:tcPr>
          <w:p>
            <w:pPr>
              <w:jc w:val="left"/>
              <w:rPr>
                <w:rFonts w:cs="Calibri"/>
                <w:sz w:val="20"/>
                <w:szCs w:val="20"/>
              </w:rPr>
            </w:pPr>
            <w:r>
              <w:rPr>
                <w:rFonts w:cs="Calibri"/>
                <w:sz w:val="20"/>
                <w:szCs w:val="20"/>
              </w:rPr>
              <w:t xml:space="preserve">Explicación introductoria</w:t>
            </w:r>
            <w:r>
              <w:rPr>
                <w:rFonts w:cs="Calibri"/>
                <w:sz w:val="20"/>
                <w:szCs w:val="20"/>
              </w:rPr>
              <w:t xml:space="preserve"> </w:t>
            </w:r>
            <w:r>
              <w:rPr>
                <w:rFonts w:cs="Calibri"/>
                <w:sz w:val="20"/>
                <w:szCs w:val="20"/>
              </w:rPr>
              <w:t xml:space="preserve">y modelo de referencia para la medición de calidad. También ofrece una guía de selección y desarrollo de medidas.</w:t>
            </w:r>
            <w:r/>
          </w:p>
        </w:tc>
      </w:tr>
      <w:tr>
        <w:trPr/>
        <w:tc>
          <w:tcPr>
            <w:tcW w:w="792" w:type="pct"/>
            <w:textDirection w:val="lrTb"/>
            <w:noWrap w:val="false"/>
          </w:tcPr>
          <w:p>
            <w:pPr>
              <w:jc w:val="right"/>
              <w:rPr>
                <w:rFonts w:cs="Calibri"/>
                <w:sz w:val="20"/>
                <w:szCs w:val="20"/>
              </w:rPr>
            </w:pPr>
            <w:r>
              <w:rPr>
                <w:rFonts w:cs="Calibri"/>
                <w:sz w:val="20"/>
                <w:szCs w:val="20"/>
              </w:rPr>
              <w:t xml:space="preserve">25021</w:t>
            </w:r>
            <w:r>
              <w:rPr>
                <w:rFonts w:cs="Calibri"/>
                <w:sz w:val="20"/>
                <w:szCs w:val="20"/>
              </w:rPr>
              <w:t xml:space="preserve">:2012</w:t>
            </w:r>
            <w:r/>
          </w:p>
        </w:tc>
        <w:tc>
          <w:tcPr>
            <w:tcW w:w="1651" w:type="pct"/>
            <w:textDirection w:val="lrTb"/>
            <w:noWrap w:val="false"/>
          </w:tcPr>
          <w:p>
            <w:pPr>
              <w:jc w:val="left"/>
              <w:rPr>
                <w:rFonts w:cs="Calibri"/>
                <w:i/>
                <w:sz w:val="20"/>
                <w:szCs w:val="20"/>
              </w:rPr>
            </w:pPr>
            <w:r>
              <w:rPr>
                <w:rFonts w:cs="Calibri"/>
                <w:i/>
                <w:sz w:val="20"/>
                <w:szCs w:val="20"/>
              </w:rPr>
              <w:t xml:space="preserve">Quality</w:t>
            </w:r>
            <w:r>
              <w:rPr>
                <w:rFonts w:cs="Calibri"/>
                <w:i/>
                <w:sz w:val="20"/>
                <w:szCs w:val="20"/>
              </w:rPr>
              <w:t xml:space="preserve"> </w:t>
            </w:r>
            <w:r>
              <w:rPr>
                <w:rFonts w:cs="Calibri"/>
                <w:i/>
                <w:sz w:val="20"/>
                <w:szCs w:val="20"/>
              </w:rPr>
              <w:t xml:space="preserve">measure</w:t>
            </w:r>
            <w:r>
              <w:rPr>
                <w:rFonts w:cs="Calibri"/>
                <w:i/>
                <w:sz w:val="20"/>
                <w:szCs w:val="20"/>
              </w:rPr>
              <w:t xml:space="preserve"> </w:t>
            </w:r>
            <w:r>
              <w:rPr>
                <w:rFonts w:cs="Calibri"/>
                <w:i/>
                <w:sz w:val="20"/>
                <w:szCs w:val="20"/>
              </w:rPr>
              <w:t xml:space="preserve">elements</w:t>
            </w:r>
            <w:r/>
          </w:p>
        </w:tc>
        <w:tc>
          <w:tcPr>
            <w:tcW w:w="2557" w:type="pct"/>
            <w:textDirection w:val="lrTb"/>
            <w:noWrap w:val="false"/>
          </w:tcPr>
          <w:p>
            <w:pPr>
              <w:jc w:val="left"/>
              <w:rPr>
                <w:rFonts w:cs="Calibri"/>
                <w:sz w:val="20"/>
                <w:szCs w:val="20"/>
              </w:rPr>
            </w:pPr>
            <w:r>
              <w:rPr>
                <w:rFonts w:cs="Calibri"/>
                <w:sz w:val="20"/>
                <w:szCs w:val="20"/>
              </w:rPr>
              <w:t xml:space="preserve">Define un conjunto de métricas base y derivadas que pueden utilizarse a lo largo de todo el ciclo de vida.</w:t>
            </w:r>
            <w:r/>
          </w:p>
        </w:tc>
      </w:tr>
      <w:tr>
        <w:trPr/>
        <w:tc>
          <w:tcPr>
            <w:tcW w:w="792" w:type="pct"/>
            <w:textDirection w:val="lrTb"/>
            <w:noWrap w:val="false"/>
          </w:tcPr>
          <w:p>
            <w:pPr>
              <w:jc w:val="right"/>
              <w:rPr>
                <w:rFonts w:cs="Calibri"/>
                <w:sz w:val="20"/>
                <w:szCs w:val="20"/>
              </w:rPr>
            </w:pPr>
            <w:r>
              <w:rPr>
                <w:rFonts w:cs="Calibri"/>
                <w:sz w:val="20"/>
                <w:szCs w:val="20"/>
              </w:rPr>
              <w:t xml:space="preserve">25022</w:t>
            </w:r>
            <w:r>
              <w:rPr>
                <w:rFonts w:cs="Calibri"/>
                <w:sz w:val="20"/>
                <w:szCs w:val="20"/>
              </w:rPr>
              <w:t xml:space="preserve">:2016</w:t>
            </w:r>
            <w:r/>
          </w:p>
        </w:tc>
        <w:tc>
          <w:tcPr>
            <w:tcW w:w="1651" w:type="pct"/>
            <w:textDirection w:val="lrTb"/>
            <w:noWrap w:val="false"/>
          </w:tcPr>
          <w:p>
            <w:pPr>
              <w:jc w:val="left"/>
              <w:rPr>
                <w:rFonts w:cs="Calibri"/>
                <w:i/>
                <w:sz w:val="20"/>
                <w:szCs w:val="20"/>
                <w:lang w:val="en-US"/>
              </w:rPr>
            </w:pPr>
            <w:r>
              <w:rPr>
                <w:rFonts w:cs="Calibri"/>
                <w:i/>
                <w:sz w:val="20"/>
                <w:szCs w:val="20"/>
                <w:lang w:val="en-US"/>
              </w:rPr>
              <w:t xml:space="preserve">Measurement of quality in use</w:t>
            </w:r>
            <w:r/>
          </w:p>
        </w:tc>
        <w:tc>
          <w:tcPr>
            <w:tcW w:w="2557" w:type="pct"/>
            <w:textDirection w:val="lrTb"/>
            <w:noWrap w:val="false"/>
          </w:tcPr>
          <w:p>
            <w:pPr>
              <w:jc w:val="left"/>
              <w:rPr>
                <w:rFonts w:cs="Calibri"/>
                <w:sz w:val="20"/>
                <w:szCs w:val="20"/>
              </w:rPr>
            </w:pPr>
            <w:r>
              <w:rPr>
                <w:rFonts w:cs="Calibri"/>
                <w:sz w:val="20"/>
                <w:szCs w:val="20"/>
              </w:rPr>
              <w:t xml:space="preserve">Define métricas específicas para evaluar la calidad del producto en uso</w:t>
            </w:r>
            <w:r>
              <w:rPr>
                <w:rFonts w:cs="Calibri"/>
                <w:sz w:val="20"/>
                <w:szCs w:val="20"/>
              </w:rPr>
              <w:t xml:space="preserve">.</w:t>
            </w:r>
            <w:r/>
          </w:p>
        </w:tc>
      </w:tr>
      <w:tr>
        <w:trPr/>
        <w:tc>
          <w:tcPr>
            <w:tcBorders>
              <w:bottom w:val="single" w:color="0098CD" w:sz="4" w:space="0"/>
            </w:tcBorders>
            <w:tcW w:w="792" w:type="pct"/>
            <w:textDirection w:val="lrTb"/>
            <w:noWrap w:val="false"/>
          </w:tcPr>
          <w:p>
            <w:pPr>
              <w:jc w:val="right"/>
              <w:rPr>
                <w:rFonts w:cs="Calibri"/>
                <w:sz w:val="20"/>
                <w:szCs w:val="20"/>
              </w:rPr>
            </w:pPr>
            <w:r>
              <w:rPr>
                <w:rFonts w:cs="Calibri"/>
                <w:sz w:val="20"/>
                <w:szCs w:val="20"/>
              </w:rPr>
              <w:t xml:space="preserve">25023</w:t>
            </w:r>
            <w:r>
              <w:rPr>
                <w:rFonts w:cs="Calibri"/>
                <w:sz w:val="20"/>
                <w:szCs w:val="20"/>
              </w:rPr>
              <w:t xml:space="preserve">:2016</w:t>
            </w:r>
            <w:r/>
          </w:p>
        </w:tc>
        <w:tc>
          <w:tcPr>
            <w:tcBorders>
              <w:bottom w:val="single" w:color="0098CD" w:sz="4" w:space="0"/>
            </w:tcBorders>
            <w:tcW w:w="1651" w:type="pct"/>
            <w:textDirection w:val="lrTb"/>
            <w:noWrap w:val="false"/>
          </w:tcPr>
          <w:p>
            <w:pPr>
              <w:jc w:val="left"/>
              <w:rPr>
                <w:rFonts w:cs="Calibri"/>
                <w:i/>
                <w:sz w:val="20"/>
                <w:szCs w:val="20"/>
                <w:lang w:val="en-US"/>
              </w:rPr>
            </w:pPr>
            <w:r>
              <w:rPr>
                <w:rFonts w:cs="Calibri"/>
                <w:i/>
                <w:sz w:val="20"/>
                <w:szCs w:val="20"/>
                <w:lang w:val="en-US"/>
              </w:rPr>
              <w:t xml:space="preserve">Measurement of system and software product quality</w:t>
            </w:r>
            <w:r/>
          </w:p>
        </w:tc>
        <w:tc>
          <w:tcPr>
            <w:tcBorders>
              <w:bottom w:val="single" w:color="0098CD" w:sz="4" w:space="0"/>
            </w:tcBorders>
            <w:tcW w:w="2557" w:type="pct"/>
            <w:textDirection w:val="lrTb"/>
            <w:noWrap w:val="false"/>
          </w:tcPr>
          <w:p>
            <w:pPr>
              <w:jc w:val="left"/>
              <w:rPr>
                <w:rFonts w:cs="Calibri"/>
                <w:sz w:val="20"/>
                <w:szCs w:val="20"/>
              </w:rPr>
            </w:pPr>
            <w:r>
              <w:rPr>
                <w:rFonts w:cs="Calibri"/>
                <w:sz w:val="20"/>
                <w:szCs w:val="20"/>
              </w:rPr>
              <w:t xml:space="preserve">Define métricas específicas para medir la calidad de productos y sistemas</w:t>
            </w:r>
            <w:r>
              <w:rPr>
                <w:rFonts w:cs="Calibri"/>
                <w:sz w:val="20"/>
                <w:szCs w:val="20"/>
              </w:rPr>
              <w:t xml:space="preserve">.</w:t>
            </w:r>
            <w:r/>
          </w:p>
        </w:tc>
      </w:tr>
      <w:tr>
        <w:trPr/>
        <w:tc>
          <w:tcPr>
            <w:tcBorders>
              <w:bottom w:val="single" w:color="0097CE" w:sz="24" w:space="0"/>
            </w:tcBorders>
            <w:tcW w:w="792" w:type="pct"/>
            <w:textDirection w:val="lrTb"/>
            <w:noWrap w:val="false"/>
          </w:tcPr>
          <w:p>
            <w:pPr>
              <w:jc w:val="right"/>
              <w:rPr>
                <w:rFonts w:cs="Calibri"/>
                <w:sz w:val="20"/>
                <w:szCs w:val="20"/>
              </w:rPr>
            </w:pPr>
            <w:r>
              <w:rPr>
                <w:rFonts w:cs="Calibri"/>
                <w:sz w:val="20"/>
                <w:szCs w:val="20"/>
              </w:rPr>
              <w:t xml:space="preserve">25024</w:t>
            </w:r>
            <w:r>
              <w:rPr>
                <w:rFonts w:cs="Calibri"/>
                <w:sz w:val="20"/>
                <w:szCs w:val="20"/>
              </w:rPr>
              <w:t xml:space="preserve">:2015</w:t>
            </w:r>
            <w:r/>
          </w:p>
        </w:tc>
        <w:tc>
          <w:tcPr>
            <w:tcBorders>
              <w:bottom w:val="single" w:color="0097CE" w:sz="24" w:space="0"/>
            </w:tcBorders>
            <w:tcW w:w="1651" w:type="pct"/>
            <w:textDirection w:val="lrTb"/>
            <w:noWrap w:val="false"/>
          </w:tcPr>
          <w:p>
            <w:pPr>
              <w:jc w:val="left"/>
              <w:rPr>
                <w:rFonts w:cs="Calibri"/>
                <w:i/>
                <w:sz w:val="20"/>
                <w:szCs w:val="20"/>
              </w:rPr>
            </w:pPr>
            <w:r>
              <w:rPr>
                <w:rFonts w:cs="Calibri"/>
                <w:i/>
                <w:sz w:val="20"/>
                <w:szCs w:val="20"/>
              </w:rPr>
              <w:t xml:space="preserve">Measurement</w:t>
            </w:r>
            <w:r>
              <w:rPr>
                <w:rFonts w:cs="Calibri"/>
                <w:i/>
                <w:sz w:val="20"/>
                <w:szCs w:val="20"/>
              </w:rPr>
              <w:t xml:space="preserve"> </w:t>
            </w:r>
            <w:r>
              <w:rPr>
                <w:rFonts w:cs="Calibri"/>
                <w:i/>
                <w:sz w:val="20"/>
                <w:szCs w:val="20"/>
              </w:rPr>
              <w:t xml:space="preserve">of</w:t>
            </w:r>
            <w:r>
              <w:rPr>
                <w:rFonts w:cs="Calibri"/>
                <w:i/>
                <w:sz w:val="20"/>
                <w:szCs w:val="20"/>
              </w:rPr>
              <w:t xml:space="preserve"> data </w:t>
            </w:r>
            <w:r>
              <w:rPr>
                <w:rFonts w:cs="Calibri"/>
                <w:i/>
                <w:sz w:val="20"/>
                <w:szCs w:val="20"/>
              </w:rPr>
              <w:t xml:space="preserve">quality</w:t>
            </w:r>
            <w:r/>
          </w:p>
        </w:tc>
        <w:tc>
          <w:tcPr>
            <w:tcBorders>
              <w:bottom w:val="single" w:color="0097CE" w:sz="24" w:space="0"/>
            </w:tcBorders>
            <w:tcW w:w="2557" w:type="pct"/>
            <w:textDirection w:val="lrTb"/>
            <w:noWrap w:val="false"/>
          </w:tcPr>
          <w:p>
            <w:pPr>
              <w:jc w:val="left"/>
              <w:rPr>
                <w:rFonts w:cs="Calibri"/>
                <w:sz w:val="20"/>
                <w:szCs w:val="20"/>
              </w:rPr>
            </w:pPr>
            <w:r>
              <w:rPr>
                <w:rFonts w:cs="Calibri"/>
                <w:sz w:val="20"/>
                <w:szCs w:val="20"/>
              </w:rPr>
              <w:t xml:space="preserve">Define métricas específicas para evaluar la calidad de los datos.</w:t>
            </w:r>
            <w:r/>
          </w:p>
        </w:tc>
      </w:tr>
      <w:tr>
        <w:trPr/>
        <w:tc>
          <w:tcPr>
            <w:tcBorders>
              <w:top w:val="single" w:color="0097CE" w:sz="24" w:space="0"/>
              <w:bottom w:val="single" w:color="0098CD" w:sz="4" w:space="0"/>
            </w:tcBorders>
            <w:tcW w:w="792" w:type="pct"/>
            <w:textDirection w:val="lrTb"/>
            <w:noWrap w:val="false"/>
          </w:tcPr>
          <w:p>
            <w:pPr>
              <w:jc w:val="left"/>
              <w:rPr>
                <w:rFonts w:cs="Calibri"/>
                <w:b/>
                <w:sz w:val="20"/>
                <w:szCs w:val="20"/>
              </w:rPr>
            </w:pPr>
            <w:r>
              <w:rPr>
                <w:rFonts w:cs="Calibri"/>
                <w:b/>
                <w:sz w:val="20"/>
                <w:szCs w:val="20"/>
              </w:rPr>
              <w:t xml:space="preserve">2503x</w:t>
            </w:r>
            <w:r/>
          </w:p>
        </w:tc>
        <w:tc>
          <w:tcPr>
            <w:tcBorders>
              <w:top w:val="single" w:color="0097CE" w:sz="24" w:space="0"/>
              <w:bottom w:val="single" w:color="0098CD" w:sz="4" w:space="0"/>
            </w:tcBorders>
            <w:tcW w:w="1651" w:type="pct"/>
            <w:textDirection w:val="lrTb"/>
            <w:noWrap w:val="false"/>
          </w:tcPr>
          <w:p>
            <w:pPr>
              <w:jc w:val="left"/>
              <w:rPr>
                <w:rFonts w:cs="Calibri"/>
                <w:b/>
                <w:sz w:val="20"/>
                <w:szCs w:val="20"/>
              </w:rPr>
            </w:pPr>
            <w:r>
              <w:rPr>
                <w:rFonts w:cs="Calibri"/>
                <w:b/>
                <w:sz w:val="20"/>
                <w:szCs w:val="20"/>
              </w:rPr>
              <w:t xml:space="preserve">División </w:t>
            </w:r>
            <w:r>
              <w:rPr>
                <w:rFonts w:cs="Calibri"/>
                <w:b/>
                <w:sz w:val="20"/>
                <w:szCs w:val="20"/>
              </w:rPr>
              <w:t xml:space="preserve">de</w:t>
            </w:r>
            <w:r>
              <w:rPr>
                <w:rFonts w:cs="Calibri"/>
                <w:b/>
                <w:sz w:val="20"/>
                <w:szCs w:val="20"/>
              </w:rPr>
              <w:t xml:space="preserve"> requisitos de calidad</w:t>
            </w:r>
            <w:r/>
          </w:p>
        </w:tc>
        <w:tc>
          <w:tcPr>
            <w:tcBorders>
              <w:top w:val="single" w:color="0097CE" w:sz="24" w:space="0"/>
              <w:bottom w:val="single" w:color="0098CD" w:sz="4" w:space="0"/>
            </w:tcBorders>
            <w:tcW w:w="2557" w:type="pct"/>
            <w:textDirection w:val="lrTb"/>
            <w:noWrap w:val="false"/>
          </w:tcPr>
          <w:p>
            <w:pPr>
              <w:jc w:val="left"/>
              <w:rPr>
                <w:rFonts w:cs="Calibri"/>
                <w:sz w:val="20"/>
                <w:szCs w:val="20"/>
              </w:rPr>
            </w:pPr>
            <w:r>
              <w:rPr>
                <w:rFonts w:cs="Calibri"/>
                <w:sz w:val="20"/>
                <w:szCs w:val="20"/>
              </w:rPr>
              <w:t xml:space="preserve">Ayudan a mejorar la especificación de requisitos desde el punto de vista de su calidad</w:t>
            </w:r>
            <w:r>
              <w:rPr>
                <w:rFonts w:cs="Calibri"/>
                <w:sz w:val="20"/>
                <w:szCs w:val="20"/>
              </w:rPr>
              <w:t xml:space="preserve">.</w:t>
            </w:r>
            <w:r/>
          </w:p>
        </w:tc>
      </w:tr>
      <w:tr>
        <w:trPr/>
        <w:tc>
          <w:tcPr>
            <w:tcBorders>
              <w:bottom w:val="single" w:color="0097CE" w:sz="24" w:space="0"/>
            </w:tcBorders>
            <w:tcW w:w="792" w:type="pct"/>
            <w:textDirection w:val="lrTb"/>
            <w:noWrap w:val="false"/>
          </w:tcPr>
          <w:p>
            <w:pPr>
              <w:jc w:val="right"/>
              <w:rPr>
                <w:rFonts w:cs="Calibri"/>
                <w:sz w:val="20"/>
                <w:szCs w:val="20"/>
              </w:rPr>
            </w:pPr>
            <w:r>
              <w:rPr>
                <w:rFonts w:cs="Calibri"/>
                <w:sz w:val="20"/>
                <w:szCs w:val="20"/>
              </w:rPr>
              <w:t xml:space="preserve">25030</w:t>
            </w:r>
            <w:r>
              <w:rPr>
                <w:rFonts w:cs="Calibri"/>
                <w:sz w:val="20"/>
                <w:szCs w:val="20"/>
              </w:rPr>
              <w:t xml:space="preserve">:2007</w:t>
            </w:r>
            <w:r/>
          </w:p>
        </w:tc>
        <w:tc>
          <w:tcPr>
            <w:tcBorders>
              <w:bottom w:val="single" w:color="0097CE" w:sz="24" w:space="0"/>
            </w:tcBorders>
            <w:tcW w:w="1651" w:type="pct"/>
            <w:textDirection w:val="lrTb"/>
            <w:noWrap w:val="false"/>
          </w:tcPr>
          <w:p>
            <w:pPr>
              <w:jc w:val="left"/>
              <w:rPr>
                <w:rFonts w:cs="Calibri"/>
                <w:i/>
                <w:sz w:val="20"/>
                <w:szCs w:val="20"/>
              </w:rPr>
            </w:pPr>
            <w:r>
              <w:rPr>
                <w:rFonts w:cs="Calibri"/>
                <w:i/>
                <w:sz w:val="20"/>
                <w:szCs w:val="20"/>
              </w:rPr>
              <w:t xml:space="preserve">Quality</w:t>
            </w:r>
            <w:r>
              <w:rPr>
                <w:rFonts w:cs="Calibri"/>
                <w:i/>
                <w:sz w:val="20"/>
                <w:szCs w:val="20"/>
              </w:rPr>
              <w:t xml:space="preserve"> </w:t>
            </w:r>
            <w:r>
              <w:rPr>
                <w:rFonts w:cs="Calibri"/>
                <w:i/>
                <w:sz w:val="20"/>
                <w:szCs w:val="20"/>
              </w:rPr>
              <w:t xml:space="preserve">requirements</w:t>
            </w:r>
            <w:r/>
          </w:p>
        </w:tc>
        <w:tc>
          <w:tcPr>
            <w:tcBorders>
              <w:bottom w:val="single" w:color="0097CE" w:sz="24" w:space="0"/>
            </w:tcBorders>
            <w:tcW w:w="2557" w:type="pct"/>
            <w:textDirection w:val="lrTb"/>
            <w:noWrap w:val="false"/>
          </w:tcPr>
          <w:p>
            <w:pPr>
              <w:jc w:val="left"/>
              <w:rPr>
                <w:rFonts w:cs="Calibri"/>
                <w:sz w:val="20"/>
                <w:szCs w:val="20"/>
              </w:rPr>
            </w:pPr>
            <w:r>
              <w:rPr>
                <w:rFonts w:cs="Calibri"/>
                <w:sz w:val="20"/>
                <w:szCs w:val="20"/>
              </w:rPr>
              <w:t xml:space="preserve">Proporciona recomendaciones para realizar la especificación de requisitos de calidad del producto.</w:t>
            </w:r>
            <w:r/>
          </w:p>
        </w:tc>
      </w:tr>
      <w:tr>
        <w:trPr/>
        <w:tc>
          <w:tcPr>
            <w:tcBorders>
              <w:top w:val="single" w:color="0097CE" w:sz="24" w:space="0"/>
            </w:tcBorders>
            <w:tcW w:w="792" w:type="pct"/>
            <w:textDirection w:val="lrTb"/>
            <w:noWrap w:val="false"/>
          </w:tcPr>
          <w:p>
            <w:pPr>
              <w:jc w:val="left"/>
              <w:rPr>
                <w:rFonts w:cs="Calibri"/>
                <w:b/>
                <w:sz w:val="20"/>
                <w:szCs w:val="20"/>
              </w:rPr>
            </w:pPr>
            <w:r>
              <w:rPr>
                <w:rFonts w:cs="Calibri"/>
                <w:b/>
                <w:sz w:val="20"/>
                <w:szCs w:val="20"/>
              </w:rPr>
              <w:t xml:space="preserve">2504x</w:t>
            </w:r>
            <w:r/>
          </w:p>
        </w:tc>
        <w:tc>
          <w:tcPr>
            <w:tcBorders>
              <w:top w:val="single" w:color="0097CE" w:sz="24" w:space="0"/>
            </w:tcBorders>
            <w:tcW w:w="1651" w:type="pct"/>
            <w:textDirection w:val="lrTb"/>
            <w:noWrap w:val="false"/>
          </w:tcPr>
          <w:p>
            <w:pPr>
              <w:jc w:val="left"/>
              <w:rPr>
                <w:rFonts w:cs="Calibri"/>
                <w:b/>
                <w:sz w:val="20"/>
                <w:szCs w:val="20"/>
              </w:rPr>
            </w:pPr>
            <w:r>
              <w:rPr>
                <w:rFonts w:cs="Calibri"/>
                <w:b/>
                <w:sz w:val="20"/>
                <w:szCs w:val="20"/>
              </w:rPr>
              <w:t xml:space="preserve">División </w:t>
            </w:r>
            <w:r>
              <w:rPr>
                <w:rFonts w:cs="Calibri"/>
                <w:b/>
                <w:sz w:val="20"/>
                <w:szCs w:val="20"/>
              </w:rPr>
              <w:t xml:space="preserve">de</w:t>
            </w:r>
            <w:r>
              <w:rPr>
                <w:rFonts w:cs="Calibri"/>
                <w:b/>
                <w:sz w:val="20"/>
                <w:szCs w:val="20"/>
              </w:rPr>
              <w:t xml:space="preserve"> evaluación de la calidad</w:t>
            </w:r>
            <w:r/>
          </w:p>
        </w:tc>
        <w:tc>
          <w:tcPr>
            <w:tcBorders>
              <w:top w:val="single" w:color="0097CE" w:sz="24" w:space="0"/>
            </w:tcBorders>
            <w:tcW w:w="2557" w:type="pct"/>
            <w:textDirection w:val="lrTb"/>
            <w:noWrap w:val="false"/>
          </w:tcPr>
          <w:p>
            <w:pPr>
              <w:jc w:val="left"/>
              <w:rPr>
                <w:rFonts w:cs="Calibri"/>
                <w:sz w:val="20"/>
                <w:szCs w:val="20"/>
              </w:rPr>
            </w:pPr>
            <w:r>
              <w:rPr>
                <w:rFonts w:cs="Calibri"/>
                <w:sz w:val="20"/>
                <w:szCs w:val="20"/>
              </w:rPr>
              <w:t xml:space="preserve">Ofrece un conjunto de guías y recomendaciones para realizar la evaluación del producto software.</w:t>
            </w:r>
            <w:r/>
          </w:p>
        </w:tc>
      </w:tr>
      <w:tr>
        <w:trPr/>
        <w:tc>
          <w:tcPr>
            <w:tcW w:w="792" w:type="pct"/>
            <w:textDirection w:val="lrTb"/>
            <w:noWrap w:val="false"/>
          </w:tcPr>
          <w:p>
            <w:pPr>
              <w:jc w:val="right"/>
              <w:rPr>
                <w:rFonts w:cs="Calibri"/>
                <w:sz w:val="20"/>
                <w:szCs w:val="20"/>
              </w:rPr>
            </w:pPr>
            <w:r>
              <w:rPr>
                <w:rFonts w:cs="Calibri"/>
                <w:sz w:val="20"/>
                <w:szCs w:val="20"/>
              </w:rPr>
              <w:t xml:space="preserve">25040</w:t>
            </w:r>
            <w:r>
              <w:rPr>
                <w:rFonts w:cs="Calibri"/>
                <w:sz w:val="20"/>
                <w:szCs w:val="20"/>
              </w:rPr>
              <w:t xml:space="preserve">:2011</w:t>
            </w:r>
            <w:r/>
          </w:p>
        </w:tc>
        <w:tc>
          <w:tcPr>
            <w:tcW w:w="1651" w:type="pct"/>
            <w:textDirection w:val="lrTb"/>
            <w:noWrap w:val="false"/>
          </w:tcPr>
          <w:p>
            <w:pPr>
              <w:jc w:val="left"/>
              <w:rPr>
                <w:rFonts w:cs="Calibri"/>
                <w:i/>
                <w:sz w:val="20"/>
                <w:szCs w:val="20"/>
                <w:lang w:val="en-US"/>
              </w:rPr>
            </w:pPr>
            <w:r>
              <w:rPr>
                <w:rFonts w:cs="Calibri"/>
                <w:i/>
                <w:sz w:val="20"/>
                <w:szCs w:val="20"/>
                <w:lang w:val="en-US"/>
              </w:rPr>
              <w:t xml:space="preserve">Evaluation </w:t>
            </w:r>
            <w:r>
              <w:rPr>
                <w:rFonts w:cs="Calibri"/>
                <w:i/>
                <w:sz w:val="20"/>
                <w:szCs w:val="20"/>
                <w:lang w:val="en-US"/>
              </w:rPr>
              <w:t xml:space="preserve">process</w:t>
            </w:r>
            <w:r/>
          </w:p>
        </w:tc>
        <w:tc>
          <w:tcPr>
            <w:tcW w:w="2557" w:type="pct"/>
            <w:textDirection w:val="lrTb"/>
            <w:noWrap w:val="false"/>
          </w:tcPr>
          <w:p>
            <w:pPr>
              <w:jc w:val="left"/>
              <w:rPr>
                <w:rFonts w:cs="Calibri"/>
                <w:sz w:val="20"/>
                <w:szCs w:val="20"/>
              </w:rPr>
            </w:pPr>
            <w:r>
              <w:rPr>
                <w:rFonts w:cs="Calibri"/>
                <w:sz w:val="20"/>
                <w:szCs w:val="20"/>
              </w:rPr>
              <w:t xml:space="preserve">Modelo de referencia general para la evaluación</w:t>
            </w:r>
            <w:r>
              <w:rPr>
                <w:rFonts w:cs="Calibri"/>
                <w:sz w:val="20"/>
                <w:szCs w:val="20"/>
              </w:rPr>
              <w:t xml:space="preserve">. Considera entradas al proceso, restricciones y recursos necesarios.</w:t>
            </w:r>
            <w:r/>
          </w:p>
        </w:tc>
      </w:tr>
      <w:tr>
        <w:trPr/>
        <w:tc>
          <w:tcPr>
            <w:tcW w:w="792" w:type="pct"/>
            <w:textDirection w:val="lrTb"/>
            <w:noWrap w:val="false"/>
          </w:tcPr>
          <w:p>
            <w:pPr>
              <w:jc w:val="right"/>
              <w:rPr>
                <w:rFonts w:cs="Calibri"/>
                <w:sz w:val="20"/>
                <w:szCs w:val="20"/>
              </w:rPr>
            </w:pPr>
            <w:r>
              <w:rPr>
                <w:rFonts w:cs="Calibri"/>
                <w:sz w:val="20"/>
                <w:szCs w:val="20"/>
              </w:rPr>
              <w:t xml:space="preserve">25041</w:t>
            </w:r>
            <w:r>
              <w:rPr>
                <w:rFonts w:cs="Calibri"/>
                <w:sz w:val="20"/>
                <w:szCs w:val="20"/>
              </w:rPr>
              <w:t xml:space="preserve">:2012</w:t>
            </w:r>
            <w:r/>
          </w:p>
        </w:tc>
        <w:tc>
          <w:tcPr>
            <w:tcW w:w="1651" w:type="pct"/>
            <w:textDirection w:val="lrTb"/>
            <w:noWrap w:val="false"/>
          </w:tcPr>
          <w:p>
            <w:pPr>
              <w:jc w:val="left"/>
              <w:rPr>
                <w:rFonts w:cs="Calibri"/>
                <w:i/>
                <w:sz w:val="20"/>
                <w:szCs w:val="20"/>
                <w:lang w:val="en-US"/>
              </w:rPr>
            </w:pPr>
            <w:r>
              <w:rPr>
                <w:rFonts w:cs="Calibri"/>
                <w:i/>
                <w:sz w:val="20"/>
                <w:szCs w:val="20"/>
                <w:lang w:val="en-US"/>
              </w:rPr>
              <w:t xml:space="preserve">Evaluation guide for developers, acquirers and independent evaluators</w:t>
            </w:r>
            <w:r/>
          </w:p>
        </w:tc>
        <w:tc>
          <w:tcPr>
            <w:tcW w:w="2557" w:type="pct"/>
            <w:textDirection w:val="lrTb"/>
            <w:noWrap w:val="false"/>
          </w:tcPr>
          <w:p>
            <w:pPr>
              <w:jc w:val="left"/>
              <w:keepNext/>
              <w:rPr>
                <w:rFonts w:cs="Calibri"/>
                <w:sz w:val="20"/>
                <w:szCs w:val="20"/>
              </w:rPr>
            </w:pPr>
            <w:r>
              <w:rPr>
                <w:rFonts w:cs="Calibri"/>
                <w:sz w:val="20"/>
                <w:szCs w:val="20"/>
              </w:rPr>
              <w:t xml:space="preserve">Guía la implementación del proceso de evaluación </w:t>
            </w:r>
            <w:r>
              <w:rPr>
                <w:rFonts w:cs="Calibri"/>
                <w:sz w:val="20"/>
                <w:szCs w:val="20"/>
              </w:rPr>
              <w:t xml:space="preserve">de manera práctica para desarrolladores, responsables de adquisiciones y evaluadores independientes.</w:t>
            </w:r>
            <w:r/>
          </w:p>
        </w:tc>
      </w:tr>
    </w:tbl>
    <w:p>
      <w:pPr>
        <w:pStyle w:val="478"/>
      </w:pPr>
      <w:r/>
      <w:bookmarkStart w:id="15" w:name="_Ref527884885"/>
      <w:r>
        <w:t xml:space="preserve">Tabla </w:t>
      </w:r>
      <w:r>
        <w:fldChar w:fldCharType="begin"/>
      </w:r>
      <w:r>
        <w:instrText xml:space="preserve"> SEQ Tabla \* ARABIC </w:instrText>
      </w:r>
      <w:r>
        <w:fldChar w:fldCharType="separate"/>
      </w:r>
      <w:r>
        <w:t xml:space="preserve">2</w:t>
      </w:r>
      <w:r>
        <w:fldChar w:fldCharType="end"/>
      </w:r>
      <w:bookmarkEnd w:id="15"/>
      <w:r>
        <w:t xml:space="preserve">. Diferentes componentes del conjunto de normas ISO/IEC 25000.</w:t>
      </w:r>
      <w:r>
        <w:br/>
        <w:t xml:space="preserve">Fuente: Elaboración propia a partir de </w:t>
      </w:r>
      <w:r>
        <w:fldChar w:fldCharType="begin"/>
      </w:r>
      <w:r>
        <w:instrText xml:space="preserve"> ADDIN ZOTERO_ITEM CSL_CITATION {"citationID":"umngx6Nf","pr</w:instrText>
      </w:r>
      <w:r>
        <w:instrText xml:space="preserve">operties":{"custom":"ISO (2018) y de iso25000.com (2018)","formattedCitation":"ISO (2018) y de iso25000.com (2018)","plainCitation":"ISO (2018) y de iso25000.com (2018)","noteIndex":0},"citationItems":[{"id":3036,"uris":["http://zotero.org/users/111670/ite</w:instrText>
      </w:r>
      <w:r>
        <w:instrText xml:space="preserve">ms/32NRFQD4"],"uri":["http://zotero.org/users/111670/items/32NRFQD4"],"itemData":{"id":3036,"type":"webpage","title":"Standards catalogue: 35.080 (Software)","URL":"https://www.iso.org/ics/35.080/x/","author":[{"literal":"ISO"}],"issued":{"date-parts":[["2</w:instrText>
      </w:r>
      <w:r>
        <w:instrText xml:space="preserve">018"]]},"accessed":{"date-parts":[["2018",10,21]]}},"label":"page"},{"id":3030,"uris":["http://zotero.org/users/111670/items/ZT4XIMGQ"],"uri":["http://zotero.org/users/111670/items/ZT4XIMGQ"],"itemData":{"id":3030,"type":"webpage","title":"Portal ISO 25000</w:instrText>
      </w:r>
      <w:r>
        <w:instrText xml:space="preserve">","URL":"http://iso25000.com/","author":[{"literal":"iso25000.com"}],"issued":{"date-parts":[["2018"]]},"accessed":{"date-parts":[["2018",10,21]]}},"label":"page"}],"schema":"https://github.com/citation-style-language/schema/raw/master/csl-citation.json"} </w:instrText>
      </w:r>
      <w:r>
        <w:fldChar w:fldCharType="separate"/>
      </w:r>
      <w:r>
        <w:t xml:space="preserve">ISO (2018) y de iso25000.com (2018)</w:t>
      </w:r>
      <w:r>
        <w:fldChar w:fldCharType="end"/>
      </w:r>
      <w:r/>
    </w:p>
    <w:p>
      <w:pPr>
        <w:ind w:firstLine="709"/>
        <w:rPr>
          <w:rFonts w:cs="UnitOT-Light"/>
          <w:iCs/>
          <w:color w:val="595959"/>
          <w:sz w:val="19"/>
          <w:szCs w:val="18"/>
        </w:rPr>
      </w:pPr>
      <w:r>
        <w:rPr>
          <w:rFonts w:cs="UnitOT-Light"/>
          <w:iCs/>
          <w:color w:val="595959"/>
          <w:sz w:val="19"/>
          <w:szCs w:val="18"/>
        </w:rPr>
      </w:r>
      <w:r/>
    </w:p>
    <w:p>
      <w:r>
        <w:t xml:space="preserve">Además de estas divisiones, se contempla la futura extensión de </w:t>
      </w:r>
      <w:r>
        <w:t xml:space="preserve">SQuaRE</w:t>
      </w:r>
      <w:r>
        <w:t xml:space="preserve"> con nuevas normas</w:t>
      </w:r>
      <w:r>
        <w:t xml:space="preserve"> —</w:t>
      </w:r>
      <w:r>
        <w:t xml:space="preserve">de la 25050 a la 25099 para dominios de aplicación específicos</w:t>
      </w:r>
      <w:r>
        <w:t xml:space="preserve">—</w:t>
      </w:r>
      <w:r>
        <w:t xml:space="preserve"> y recoger</w:t>
      </w:r>
      <w:r>
        <w:t xml:space="preserve">,</w:t>
      </w:r>
      <w:r>
        <w:t xml:space="preserve"> así</w:t>
      </w:r>
      <w:r>
        <w:t xml:space="preserve">,</w:t>
      </w:r>
      <w:r>
        <w:t xml:space="preserve"> sus particularidades concretas. </w:t>
      </w:r>
      <w:r>
        <w:t xml:space="preserve">Por ejemplo:</w:t>
      </w:r>
      <w:r/>
    </w:p>
    <w:p>
      <w:r/>
      <w:r/>
    </w:p>
    <w:p>
      <w:pPr>
        <w:pStyle w:val="480"/>
        <w:numPr>
          <w:ilvl w:val="0"/>
          <w:numId w:val="29"/>
        </w:numPr>
      </w:pPr>
      <w:r>
        <w:rPr>
          <w:b/>
          <w:lang w:val="en-US"/>
        </w:rPr>
        <w:t xml:space="preserve">ISO/IEC 25051</w:t>
      </w:r>
      <w:r>
        <w:rPr>
          <w:lang w:val="en-US"/>
        </w:rPr>
        <w:t xml:space="preserve">: </w:t>
      </w:r>
      <w:r>
        <w:rPr>
          <w:i/>
          <w:lang w:val="en-US"/>
        </w:rPr>
        <w:t xml:space="preserve">Requirements for quality of Ready to Use Software Product (RUSP) and instructions for testing</w:t>
      </w:r>
      <w:r>
        <w:rPr>
          <w:lang w:val="en-US"/>
        </w:rPr>
        <w:t xml:space="preserve">. </w:t>
      </w:r>
      <w:r>
        <w:t xml:space="preserve">Contiene requisitos de calidad y requisitos para realizar las pruebas de productos RUSP (ISO, 2014b). Se trata de productos disponibles para cualquier usuario, c</w:t>
      </w:r>
      <w:r>
        <w:t xml:space="preserve">on o sin coste, listos para ser utilizados sin realizar actividades de desarrollo adicionales. Se caracterizan porque el usuario no tiene influencia en la especificación de sus características. En la norma se considera dentro de RUSP la descripción del pro</w:t>
      </w:r>
      <w:r>
        <w:t xml:space="preserve">ducto (incluyendo la información del sitio web), la documentación de usuario (necesaria para instalar y utilizar el producto y configurar el entorno donde se va a ejecutar), y el propio software que se ofrece a través de algún mecanismo de distribución (CD</w:t>
      </w:r>
      <w:r>
        <w:t xml:space="preserve">–</w:t>
      </w:r>
      <w:r>
        <w:t xml:space="preserve">ROM, descarga de Internet, etc.). Se incluyen en esta categoría productos como los procesadores de texto, hojas de cálculo, aplicaciones móviles y aplicaciones web, pero se deja fuera el software de código abierto.</w:t>
      </w:r>
      <w:r/>
    </w:p>
    <w:p>
      <w:pPr>
        <w:pStyle w:val="480"/>
        <w:numPr>
          <w:ilvl w:val="0"/>
          <w:numId w:val="29"/>
        </w:numPr>
      </w:pPr>
      <w:r>
        <w:rPr>
          <w:b/>
          <w:lang w:val="en-US"/>
        </w:rPr>
        <w:t xml:space="preserve">ISO/IEC 25062:2006</w:t>
      </w:r>
      <w:r>
        <w:rPr>
          <w:i/>
          <w:lang w:val="en-US"/>
        </w:rPr>
        <w:t xml:space="preserve">: Common Industry Format (CIF) for usability test reports</w:t>
      </w:r>
      <w:r>
        <w:rPr>
          <w:lang w:val="en-US"/>
        </w:rPr>
        <w:t xml:space="preserve">. </w:t>
      </w:r>
      <w:r>
        <w:t xml:space="preserve">Está dirigido a expertos en usabilidad para guiarles en la generación de informes de pruebas de usabilidad (ISO, 2006). El CIF estandariza el tipo de información que se captura durante las pruebas con usuarios. Contempla var</w:t>
      </w:r>
      <w:r>
        <w:t xml:space="preserve">iables como la demografía, la descripción de la tarea, el contexto de la prueba y el equipamiento necesario para realizarla. Hasta el momento no existía un formato estándar para ofrecer informes de usabilidad, y cada compañía adoptaba sus propios formatos.</w:t>
      </w:r>
      <w:r/>
    </w:p>
    <w:p>
      <w:r/>
      <w:r/>
    </w:p>
    <w:p>
      <w:r>
        <w:t xml:space="preserve">Es importante recordar que </w:t>
      </w:r>
      <w:r>
        <w:rPr>
          <w:b/>
        </w:rPr>
        <w:t xml:space="preserve">SQuaRE</w:t>
      </w:r>
      <w:r>
        <w:rPr>
          <w:b/>
        </w:rPr>
        <w:t xml:space="preserve"> describe qué se debe evaluar, pero no especifica cómo hacerlo.</w:t>
      </w:r>
      <w:r>
        <w:t xml:space="preserve"> No detalla los umbrales que deben emplearse junto a las métricas ni la manera de agrupar</w:t>
      </w:r>
      <w:r>
        <w:t xml:space="preserve">las</w:t>
      </w:r>
      <w:r>
        <w:t xml:space="preserve"> para asignar una única puntuación de calidad a un producto (Rodríguez &amp; </w:t>
      </w:r>
      <w:r>
        <w:t xml:space="preserve">Piattini</w:t>
      </w:r>
      <w:r>
        <w:t xml:space="preserve">, 2014).</w:t>
      </w:r>
      <w:r/>
    </w:p>
    <w:p>
      <w:r/>
      <w:r/>
    </w:p>
    <w:p>
      <w:r>
        <w:t xml:space="preserve">De todas las normas anteriores podemos destacar la </w:t>
      </w:r>
      <w:r>
        <w:rPr>
          <w:b/>
        </w:rPr>
        <w:t xml:space="preserve">ISO/IEC 25010</w:t>
      </w:r>
      <w:r>
        <w:t xml:space="preserve">, por definir el modelo general de calidad del producto y el conjunto de atributos que deberían evaluarse, la </w:t>
      </w:r>
      <w:r>
        <w:rPr>
          <w:b/>
        </w:rPr>
        <w:t xml:space="preserve">ISO/IEC 25012</w:t>
      </w:r>
      <w:r>
        <w:t xml:space="preserve">, por hacer lo mismo para el caso particular de los datos, y la </w:t>
      </w:r>
      <w:r>
        <w:rPr>
          <w:b/>
        </w:rPr>
        <w:t xml:space="preserve">ISO/IEC 25040</w:t>
      </w:r>
      <w:r>
        <w:t xml:space="preserve">, puesto que proporciona un modelo de referencia general para el proceso de evaluación.</w:t>
      </w:r>
      <w:r/>
    </w:p>
    <w:p>
      <w:r/>
      <w:r/>
    </w:p>
    <w:p>
      <w:r/>
      <w:r/>
    </w:p>
    <w:p>
      <w:pPr>
        <w:pStyle w:val="488"/>
      </w:pPr>
      <w:r/>
      <w:bookmarkStart w:id="16" w:name="_Toc535214625"/>
      <w:r>
        <w:t xml:space="preserve">10.5. ISO/IEC 25010: </w:t>
      </w:r>
      <w:r>
        <w:t xml:space="preserve">m</w:t>
      </w:r>
      <w:r>
        <w:t xml:space="preserve">odelo y características de calidad</w:t>
      </w:r>
      <w:bookmarkEnd w:id="16"/>
      <w:r/>
      <w:r/>
    </w:p>
    <w:p>
      <w:r/>
      <w:r/>
    </w:p>
    <w:p>
      <w:r>
        <w:t xml:space="preserve">La norma</w:t>
      </w:r>
      <w:r>
        <w:rPr>
          <w:b/>
        </w:rPr>
        <w:t xml:space="preserve"> ISO/IEC 25010:2011 define los modelos fundamentales que proporcionan un conjunto de características susceptibles de ser evaluadas para determinar la calidad del producto software.</w:t>
      </w:r>
      <w:r>
        <w:t xml:space="preserve"> </w:t>
      </w:r>
      <w:r/>
    </w:p>
    <w:p>
      <w:r/>
      <w:r/>
    </w:p>
    <w:p>
      <w:r>
        <w:t xml:space="preserve">Por un </w:t>
      </w:r>
      <w:r>
        <w:t xml:space="preserve">la</w:t>
      </w:r>
      <w:r>
        <w:t xml:space="preserve">do</w:t>
      </w:r>
      <w:r>
        <w:t xml:space="preserve">,</w:t>
      </w:r>
      <w:r>
        <w:t xml:space="preserve"> se define un </w:t>
      </w:r>
      <w:r>
        <w:rPr>
          <w:b/>
        </w:rPr>
        <w:t xml:space="preserve">modelo de calidad en uso </w:t>
      </w:r>
      <w:r>
        <w:t xml:space="preserve">compuesto por </w:t>
      </w:r>
      <w:r>
        <w:t xml:space="preserve">cinco</w:t>
      </w:r>
      <w:r>
        <w:t xml:space="preserve"> características</w:t>
      </w:r>
      <w:r>
        <w:rPr>
          <w:b/>
        </w:rPr>
        <w:t xml:space="preserve"> </w:t>
      </w:r>
      <w:r>
        <w:t xml:space="preserve">y</w:t>
      </w:r>
      <w:r>
        <w:t xml:space="preserve">,</w:t>
      </w:r>
      <w:r>
        <w:t xml:space="preserve"> por otro</w:t>
      </w:r>
      <w:r>
        <w:t xml:space="preserve">,</w:t>
      </w:r>
      <w:r>
        <w:t xml:space="preserve"> </w:t>
      </w:r>
      <w:r>
        <w:rPr>
          <w:b/>
        </w:rPr>
        <w:t xml:space="preserve">un modelo de calidad del producto </w:t>
      </w:r>
      <w:r>
        <w:t xml:space="preserve">definido por otras </w:t>
      </w:r>
      <w:r>
        <w:t xml:space="preserve">ocho</w:t>
      </w:r>
      <w:r>
        <w:t xml:space="preserve"> características</w:t>
      </w:r>
      <w:r>
        <w:t xml:space="preserve">. Ambos modelos se complementan con el modelo de calidad de los datos que proporciona la norma ISO/IEC 2012:2008</w:t>
      </w:r>
      <w:r>
        <w:t xml:space="preserve">,</w:t>
      </w:r>
      <w:r>
        <w:t xml:space="preserve"> que veremos luego.</w:t>
      </w:r>
      <w:r/>
    </w:p>
    <w:p>
      <w:r/>
      <w:r/>
    </w:p>
    <w:p>
      <w:pPr>
        <w:pStyle w:val="490"/>
      </w:pPr>
      <w:r>
        <w:t xml:space="preserve">Modelo de calidad en uso</w:t>
      </w:r>
      <w:r/>
    </w:p>
    <w:p>
      <w:r/>
      <w:r/>
    </w:p>
    <w:p>
      <w:r>
        <w:t xml:space="preserve">La</w:t>
      </w:r>
      <w:r>
        <w:rPr>
          <w:b/>
        </w:rPr>
        <w:t xml:space="preserve"> calidad en uso</w:t>
      </w:r>
      <w:r>
        <w:t xml:space="preserve"> es el </w:t>
      </w:r>
      <w:r>
        <w:t xml:space="preserve">«</w:t>
      </w:r>
      <w:r>
        <w:t xml:space="preserve">grado en el cuál un producto o sistema puede ser utilizado por usuarios específicos cumpliendo sus necesidades para alcanzar objetivos específicos con efectividad, eficiencia, libres de riesgos y satisfacción, en contextos específicos de utilización</w:t>
      </w:r>
      <w:r>
        <w:t xml:space="preserve">»</w:t>
      </w:r>
      <w:r>
        <w:t xml:space="preserve"> (ISO, 2011, sección 4.1). </w:t>
      </w:r>
      <w:r/>
    </w:p>
    <w:p>
      <w:r/>
      <w:r/>
    </w:p>
    <w:p>
      <w:r>
        <w:t xml:space="preserve">Aquí la norma identifica un total de </w:t>
      </w:r>
      <w:r>
        <w:t xml:space="preserve">cinco</w:t>
      </w:r>
      <w:r>
        <w:t xml:space="preserve"> características, algunas de las cuales se desagregan en propiedades específicas, como se recoge en la </w:t>
      </w:r>
      <w:r>
        <w:t xml:space="preserve">t</w:t>
      </w:r>
      <w:r>
        <w:t xml:space="preserve">abla 3.</w:t>
      </w:r>
      <w:r/>
    </w:p>
    <w:p>
      <w:r/>
      <w:r/>
    </w:p>
    <w:tbl>
      <w:tblPr>
        <w:tblStyle w:val="483"/>
        <w:tblW w:w="0" w:type="auto"/>
        <w:tblBorders>
          <w:left w:val="single" w:color="0098CE" w:sz="4" w:space="0"/>
          <w:top w:val="single" w:color="0098CE" w:sz="4" w:space="0"/>
          <w:right w:val="single" w:color="0098CE" w:sz="4" w:space="0"/>
          <w:bottom w:val="single" w:color="0098CE" w:sz="4" w:space="0"/>
          <w:insideV w:val="single" w:color="0098CE" w:sz="4" w:space="0"/>
          <w:insideH w:val="single" w:color="0098CE" w:sz="4" w:space="0"/>
        </w:tblBorders>
        <w:tblLook w:val="04A0" w:firstRow="1" w:lastRow="0" w:firstColumn="1" w:lastColumn="0" w:noHBand="0" w:noVBand="1"/>
      </w:tblPr>
      <w:tblGrid>
        <w:gridCol w:w="1838"/>
        <w:gridCol w:w="6372"/>
      </w:tblGrid>
      <w:tr>
        <w:trPr/>
        <w:tc>
          <w:tcPr>
            <w:shd w:val="clear" w:color="auto" w:fill="0098CE"/>
            <w:tcW w:w="1838" w:type="dxa"/>
            <w:textDirection w:val="lrTb"/>
            <w:noWrap w:val="false"/>
          </w:tcPr>
          <w:p>
            <w:pPr>
              <w:jc w:val="left"/>
              <w:rPr>
                <w:rFonts w:cs="Calibri"/>
                <w:b/>
                <w:color w:val="FFFFFF"/>
                <w:sz w:val="20"/>
                <w:szCs w:val="20"/>
              </w:rPr>
            </w:pPr>
            <w:r>
              <w:rPr>
                <w:rFonts w:cs="Calibri"/>
                <w:b/>
                <w:color w:val="FFFFFF" w:themeColor="background1"/>
                <w:sz w:val="20"/>
                <w:szCs w:val="20"/>
              </w:rPr>
              <w:t xml:space="preserve">Característica</w:t>
            </w:r>
            <w:r/>
          </w:p>
          <w:p>
            <w:pPr>
              <w:jc w:val="right"/>
              <w:rPr>
                <w:rFonts w:cs="Calibri"/>
                <w:color w:val="FFFFFF"/>
                <w:sz w:val="20"/>
                <w:szCs w:val="20"/>
              </w:rPr>
            </w:pPr>
            <w:r>
              <w:rPr>
                <w:rFonts w:cs="Calibri"/>
                <w:color w:val="FFFFFF" w:themeColor="background1"/>
                <w:sz w:val="20"/>
                <w:szCs w:val="20"/>
              </w:rPr>
              <w:t xml:space="preserve">Subcaracterística</w:t>
            </w:r>
            <w:r/>
          </w:p>
        </w:tc>
        <w:tc>
          <w:tcPr>
            <w:shd w:val="clear" w:color="auto" w:fill="0098CE"/>
            <w:tcW w:w="6372" w:type="dxa"/>
            <w:textDirection w:val="lrTb"/>
            <w:noWrap w:val="false"/>
          </w:tcPr>
          <w:p>
            <w:pPr>
              <w:jc w:val="left"/>
              <w:rPr>
                <w:rFonts w:cs="Calibri"/>
                <w:b/>
                <w:color w:val="FFFFFF"/>
                <w:sz w:val="20"/>
                <w:szCs w:val="20"/>
              </w:rPr>
            </w:pPr>
            <w:r>
              <w:rPr>
                <w:rFonts w:cs="Calibri"/>
                <w:b/>
                <w:color w:val="FFFFFF" w:themeColor="background1"/>
                <w:sz w:val="20"/>
                <w:szCs w:val="20"/>
              </w:rPr>
              <w:t xml:space="preserve">Explicación</w:t>
            </w:r>
            <w:r/>
          </w:p>
        </w:tc>
      </w:tr>
      <w:tr>
        <w:trPr/>
        <w:tc>
          <w:tcPr>
            <w:tcW w:w="1838" w:type="dxa"/>
            <w:textDirection w:val="lrTb"/>
            <w:noWrap w:val="false"/>
          </w:tcPr>
          <w:p>
            <w:pPr>
              <w:jc w:val="left"/>
              <w:rPr>
                <w:rFonts w:cs="Calibri"/>
                <w:b/>
                <w:sz w:val="20"/>
                <w:szCs w:val="20"/>
              </w:rPr>
            </w:pPr>
            <w:r>
              <w:rPr>
                <w:rFonts w:cs="Calibri"/>
                <w:b/>
                <w:sz w:val="20"/>
                <w:szCs w:val="20"/>
              </w:rPr>
              <w:t xml:space="preserve">Efectividad</w:t>
            </w:r>
            <w:r/>
          </w:p>
        </w:tc>
        <w:tc>
          <w:tcPr>
            <w:tcW w:w="6372" w:type="dxa"/>
            <w:textDirection w:val="lrTb"/>
            <w:noWrap w:val="false"/>
          </w:tcPr>
          <w:p>
            <w:pPr>
              <w:jc w:val="left"/>
              <w:rPr>
                <w:rFonts w:cs="Calibri"/>
                <w:sz w:val="20"/>
                <w:szCs w:val="20"/>
              </w:rPr>
            </w:pPr>
            <w:r>
              <w:rPr>
                <w:rFonts w:cs="Calibri"/>
                <w:sz w:val="20"/>
                <w:szCs w:val="20"/>
              </w:rPr>
              <w:t xml:space="preserve">Es la precisión y </w:t>
            </w:r>
            <w:r>
              <w:rPr>
                <w:rFonts w:cs="Calibri"/>
                <w:sz w:val="20"/>
                <w:szCs w:val="20"/>
              </w:rPr>
              <w:t xml:space="preserve">con qué medida </w:t>
            </w:r>
            <w:r>
              <w:rPr>
                <w:rFonts w:cs="Calibri"/>
                <w:sz w:val="20"/>
                <w:szCs w:val="20"/>
              </w:rPr>
              <w:t xml:space="preserve">los usuarios alcanzan sus objetivos.</w:t>
            </w:r>
            <w:r/>
          </w:p>
        </w:tc>
      </w:tr>
      <w:tr>
        <w:trPr/>
        <w:tc>
          <w:tcPr>
            <w:tcW w:w="1838" w:type="dxa"/>
            <w:textDirection w:val="lrTb"/>
            <w:noWrap w:val="false"/>
          </w:tcPr>
          <w:p>
            <w:pPr>
              <w:jc w:val="left"/>
              <w:rPr>
                <w:rFonts w:cs="Calibri"/>
                <w:sz w:val="20"/>
                <w:szCs w:val="20"/>
              </w:rPr>
            </w:pPr>
            <w:r>
              <w:rPr>
                <w:rFonts w:cs="Calibri"/>
                <w:b/>
                <w:sz w:val="20"/>
                <w:szCs w:val="20"/>
              </w:rPr>
              <w:t xml:space="preserve">Eficiencia</w:t>
            </w:r>
            <w:r/>
          </w:p>
        </w:tc>
        <w:tc>
          <w:tcPr>
            <w:tcW w:w="6372" w:type="dxa"/>
            <w:textDirection w:val="lrTb"/>
            <w:noWrap w:val="false"/>
          </w:tcPr>
          <w:p>
            <w:pPr>
              <w:jc w:val="left"/>
              <w:rPr>
                <w:rFonts w:cs="Calibri"/>
                <w:sz w:val="20"/>
                <w:szCs w:val="20"/>
              </w:rPr>
            </w:pPr>
            <w:r>
              <w:rPr>
                <w:rFonts w:cs="Calibri"/>
                <w:sz w:val="20"/>
                <w:szCs w:val="20"/>
              </w:rPr>
              <w:t xml:space="preserve">Cantidad de recursos gastados con relación a la efectividad obtenida.</w:t>
            </w:r>
            <w:r/>
          </w:p>
        </w:tc>
      </w:tr>
      <w:tr>
        <w:trPr/>
        <w:tc>
          <w:tcPr>
            <w:tcW w:w="1838" w:type="dxa"/>
            <w:textDirection w:val="lrTb"/>
            <w:noWrap w:val="false"/>
          </w:tcPr>
          <w:p>
            <w:pPr>
              <w:jc w:val="left"/>
              <w:rPr>
                <w:rFonts w:cs="Calibri"/>
                <w:sz w:val="20"/>
                <w:szCs w:val="20"/>
              </w:rPr>
            </w:pPr>
            <w:r>
              <w:rPr>
                <w:rFonts w:cs="Calibri"/>
                <w:b/>
                <w:sz w:val="20"/>
                <w:szCs w:val="20"/>
              </w:rPr>
              <w:t xml:space="preserve">Satisfacción</w:t>
            </w:r>
            <w:r/>
          </w:p>
        </w:tc>
        <w:tc>
          <w:tcPr>
            <w:tcW w:w="6372" w:type="dxa"/>
            <w:textDirection w:val="lrTb"/>
            <w:noWrap w:val="false"/>
          </w:tcPr>
          <w:p>
            <w:pPr>
              <w:jc w:val="left"/>
              <w:rPr>
                <w:rFonts w:cs="Calibri"/>
                <w:sz w:val="20"/>
                <w:szCs w:val="20"/>
              </w:rPr>
            </w:pPr>
            <w:r>
              <w:rPr>
                <w:rFonts w:cs="Calibri"/>
                <w:sz w:val="20"/>
                <w:szCs w:val="20"/>
              </w:rPr>
              <w:t xml:space="preserve">Grado en que las necesidades del usuario se satisfacen al emplearse el producto en un contexto determinado.</w:t>
            </w:r>
            <w:r/>
          </w:p>
        </w:tc>
      </w:tr>
      <w:tr>
        <w:trPr/>
        <w:tc>
          <w:tcPr>
            <w:tcW w:w="1838" w:type="dxa"/>
            <w:textDirection w:val="lrTb"/>
            <w:noWrap w:val="false"/>
          </w:tcPr>
          <w:p>
            <w:pPr>
              <w:jc w:val="right"/>
              <w:rPr>
                <w:rFonts w:cs="Calibri"/>
                <w:b/>
                <w:sz w:val="20"/>
                <w:szCs w:val="20"/>
              </w:rPr>
            </w:pPr>
            <w:r>
              <w:rPr>
                <w:rFonts w:cs="Calibri"/>
                <w:sz w:val="20"/>
                <w:szCs w:val="20"/>
              </w:rPr>
              <w:t xml:space="preserve">Utilidad</w:t>
            </w:r>
            <w:r/>
          </w:p>
        </w:tc>
        <w:tc>
          <w:tcPr>
            <w:tcW w:w="6372" w:type="dxa"/>
            <w:textDirection w:val="lrTb"/>
            <w:noWrap w:val="false"/>
          </w:tcPr>
          <w:p>
            <w:pPr>
              <w:jc w:val="left"/>
              <w:rPr>
                <w:rFonts w:cs="Calibri"/>
                <w:sz w:val="20"/>
                <w:szCs w:val="20"/>
              </w:rPr>
            </w:pPr>
            <w:r>
              <w:rPr>
                <w:rFonts w:cs="Calibri"/>
                <w:sz w:val="20"/>
                <w:szCs w:val="20"/>
              </w:rPr>
              <w:t xml:space="preserve">Grado en que el usuario queda satisfecho </w:t>
            </w:r>
            <w:r>
              <w:rPr>
                <w:rFonts w:cs="Calibri"/>
                <w:sz w:val="20"/>
                <w:szCs w:val="20"/>
              </w:rPr>
              <w:t xml:space="preserve">al</w:t>
            </w:r>
            <w:r>
              <w:rPr>
                <w:rFonts w:cs="Calibri"/>
                <w:sz w:val="20"/>
                <w:szCs w:val="20"/>
              </w:rPr>
              <w:t xml:space="preserve"> alcanzar sus objetivos con el uso del producto.</w:t>
            </w:r>
            <w:r/>
          </w:p>
        </w:tc>
      </w:tr>
      <w:tr>
        <w:trPr/>
        <w:tc>
          <w:tcPr>
            <w:tcW w:w="1838" w:type="dxa"/>
            <w:textDirection w:val="lrTb"/>
            <w:noWrap w:val="false"/>
          </w:tcPr>
          <w:p>
            <w:pPr>
              <w:jc w:val="right"/>
              <w:rPr>
                <w:rFonts w:cs="Calibri"/>
                <w:b/>
                <w:sz w:val="20"/>
                <w:szCs w:val="20"/>
              </w:rPr>
            </w:pPr>
            <w:r>
              <w:rPr>
                <w:rFonts w:cs="Calibri"/>
                <w:sz w:val="20"/>
                <w:szCs w:val="20"/>
              </w:rPr>
              <w:t xml:space="preserve">Confianza</w:t>
            </w:r>
            <w:r/>
          </w:p>
        </w:tc>
        <w:tc>
          <w:tcPr>
            <w:tcW w:w="6372" w:type="dxa"/>
            <w:textDirection w:val="lrTb"/>
            <w:noWrap w:val="false"/>
          </w:tcPr>
          <w:p>
            <w:pPr>
              <w:jc w:val="left"/>
              <w:rPr>
                <w:rFonts w:cs="Calibri"/>
                <w:sz w:val="20"/>
                <w:szCs w:val="20"/>
              </w:rPr>
            </w:pPr>
            <w:r>
              <w:rPr>
                <w:rFonts w:cs="Calibri"/>
                <w:sz w:val="20"/>
                <w:szCs w:val="20"/>
              </w:rPr>
              <w:t xml:space="preserve">Grado en que el usuario espera que el producto se comportará según lo esperado</w:t>
            </w:r>
            <w:r>
              <w:rPr>
                <w:rFonts w:cs="Calibri"/>
                <w:sz w:val="20"/>
                <w:szCs w:val="20"/>
              </w:rPr>
              <w:t xml:space="preserve">.</w:t>
            </w:r>
            <w:r/>
          </w:p>
        </w:tc>
      </w:tr>
      <w:tr>
        <w:trPr/>
        <w:tc>
          <w:tcPr>
            <w:tcW w:w="1838" w:type="dxa"/>
            <w:textDirection w:val="lrTb"/>
            <w:noWrap w:val="false"/>
          </w:tcPr>
          <w:p>
            <w:pPr>
              <w:jc w:val="right"/>
              <w:rPr>
                <w:rFonts w:cs="Calibri"/>
                <w:b/>
                <w:sz w:val="20"/>
                <w:szCs w:val="20"/>
              </w:rPr>
            </w:pPr>
            <w:r>
              <w:rPr>
                <w:rFonts w:cs="Calibri"/>
                <w:sz w:val="20"/>
                <w:szCs w:val="20"/>
              </w:rPr>
              <w:t xml:space="preserve">Placer</w:t>
            </w:r>
            <w:r/>
          </w:p>
        </w:tc>
        <w:tc>
          <w:tcPr>
            <w:tcW w:w="6372" w:type="dxa"/>
            <w:textDirection w:val="lrTb"/>
            <w:noWrap w:val="false"/>
          </w:tcPr>
          <w:p>
            <w:pPr>
              <w:jc w:val="left"/>
              <w:rPr>
                <w:rFonts w:cs="Calibri"/>
                <w:sz w:val="20"/>
                <w:szCs w:val="20"/>
              </w:rPr>
            </w:pPr>
            <w:r>
              <w:rPr>
                <w:rFonts w:cs="Calibri"/>
                <w:sz w:val="20"/>
                <w:szCs w:val="20"/>
              </w:rPr>
              <w:t xml:space="preserve">Grado en que el usuario utiliza el producto con agrado</w:t>
            </w:r>
            <w:r>
              <w:rPr>
                <w:rFonts w:cs="Calibri"/>
                <w:sz w:val="20"/>
                <w:szCs w:val="20"/>
              </w:rPr>
              <w:t xml:space="preserve">.</w:t>
            </w:r>
            <w:r/>
          </w:p>
        </w:tc>
      </w:tr>
      <w:tr>
        <w:trPr/>
        <w:tc>
          <w:tcPr>
            <w:tcW w:w="1838" w:type="dxa"/>
            <w:textDirection w:val="lrTb"/>
            <w:noWrap w:val="false"/>
          </w:tcPr>
          <w:p>
            <w:pPr>
              <w:jc w:val="right"/>
              <w:rPr>
                <w:rFonts w:cs="Calibri"/>
                <w:b/>
                <w:sz w:val="20"/>
                <w:szCs w:val="20"/>
              </w:rPr>
            </w:pPr>
            <w:r>
              <w:rPr>
                <w:rFonts w:cs="Calibri"/>
                <w:sz w:val="20"/>
                <w:szCs w:val="20"/>
              </w:rPr>
              <w:t xml:space="preserve">Confort</w:t>
            </w:r>
            <w:r/>
          </w:p>
        </w:tc>
        <w:tc>
          <w:tcPr>
            <w:tcW w:w="6372" w:type="dxa"/>
            <w:textDirection w:val="lrTb"/>
            <w:noWrap w:val="false"/>
          </w:tcPr>
          <w:p>
            <w:pPr>
              <w:jc w:val="left"/>
              <w:rPr>
                <w:rFonts w:cs="Calibri"/>
                <w:sz w:val="20"/>
                <w:szCs w:val="20"/>
              </w:rPr>
            </w:pPr>
            <w:r>
              <w:rPr>
                <w:rFonts w:cs="Calibri"/>
                <w:sz w:val="20"/>
                <w:szCs w:val="20"/>
              </w:rPr>
              <w:t xml:space="preserve">Grado en que el usuario está físicamente satisfecho</w:t>
            </w:r>
            <w:r>
              <w:rPr>
                <w:rFonts w:cs="Calibri"/>
                <w:sz w:val="20"/>
                <w:szCs w:val="20"/>
              </w:rPr>
              <w:t xml:space="preserve">.</w:t>
            </w:r>
            <w:r/>
          </w:p>
        </w:tc>
      </w:tr>
      <w:tr>
        <w:trPr/>
        <w:tc>
          <w:tcPr>
            <w:tcW w:w="1838" w:type="dxa"/>
            <w:textDirection w:val="lrTb"/>
            <w:noWrap w:val="false"/>
          </w:tcPr>
          <w:p>
            <w:pPr>
              <w:jc w:val="left"/>
              <w:rPr>
                <w:rFonts w:cs="Calibri"/>
                <w:b/>
                <w:sz w:val="20"/>
                <w:szCs w:val="20"/>
              </w:rPr>
            </w:pPr>
            <w:r>
              <w:rPr>
                <w:rFonts w:cs="Calibri"/>
                <w:b/>
                <w:sz w:val="20"/>
                <w:szCs w:val="20"/>
              </w:rPr>
              <w:t xml:space="preserve">Ausencia</w:t>
            </w:r>
            <w:r>
              <w:rPr>
                <w:rFonts w:cs="Calibri"/>
                <w:b/>
                <w:sz w:val="20"/>
                <w:szCs w:val="20"/>
              </w:rPr>
              <w:t xml:space="preserve"> de riesgo</w:t>
            </w:r>
            <w:r>
              <w:rPr>
                <w:rFonts w:cs="Calibri"/>
                <w:b/>
                <w:sz w:val="20"/>
                <w:szCs w:val="20"/>
              </w:rPr>
              <w:t xml:space="preserve">s</w:t>
            </w:r>
            <w:r/>
          </w:p>
        </w:tc>
        <w:tc>
          <w:tcPr>
            <w:tcW w:w="6372" w:type="dxa"/>
            <w:textDirection w:val="lrTb"/>
            <w:noWrap w:val="false"/>
          </w:tcPr>
          <w:p>
            <w:pPr>
              <w:jc w:val="left"/>
              <w:rPr>
                <w:rFonts w:cs="Calibri"/>
                <w:sz w:val="20"/>
                <w:szCs w:val="20"/>
              </w:rPr>
            </w:pPr>
            <w:r>
              <w:rPr>
                <w:rFonts w:cs="Calibri"/>
                <w:sz w:val="20"/>
                <w:szCs w:val="20"/>
              </w:rPr>
              <w:t xml:space="preserve">Grado en que el producto mitiga potenciales riesgos económicos, sobre la salud o la vida humana, o el entorno</w:t>
            </w:r>
            <w:r>
              <w:rPr>
                <w:rFonts w:cs="Calibri"/>
                <w:sz w:val="20"/>
                <w:szCs w:val="20"/>
              </w:rPr>
              <w:t xml:space="preserve">.</w:t>
            </w:r>
            <w:r/>
          </w:p>
        </w:tc>
      </w:tr>
      <w:tr>
        <w:trPr/>
        <w:tc>
          <w:tcPr>
            <w:tcW w:w="1838" w:type="dxa"/>
            <w:textDirection w:val="lrTb"/>
            <w:noWrap w:val="false"/>
          </w:tcPr>
          <w:p>
            <w:pPr>
              <w:jc w:val="right"/>
              <w:rPr>
                <w:rFonts w:cs="Calibri"/>
                <w:b/>
                <w:sz w:val="20"/>
                <w:szCs w:val="20"/>
              </w:rPr>
            </w:pPr>
            <w:r>
              <w:rPr>
                <w:rFonts w:cs="Calibri"/>
                <w:sz w:val="20"/>
                <w:szCs w:val="20"/>
              </w:rPr>
              <w:t xml:space="preserve">Mitigación de riesgo económico</w:t>
            </w:r>
            <w:r/>
          </w:p>
        </w:tc>
        <w:tc>
          <w:tcPr>
            <w:tcW w:w="6372" w:type="dxa"/>
            <w:textDirection w:val="lrTb"/>
            <w:noWrap w:val="false"/>
          </w:tcPr>
          <w:p>
            <w:pPr>
              <w:keepNext/>
              <w:rPr>
                <w:sz w:val="20"/>
                <w:szCs w:val="20"/>
              </w:rPr>
            </w:pPr>
            <w:r>
              <w:rPr>
                <w:sz w:val="20"/>
                <w:szCs w:val="20"/>
              </w:rPr>
              <w:t xml:space="preserve">Grado en que el producto mitiga riesgos relacionados con el estado financiero, la operación eficiente, la propiedad comercial o la reputación.</w:t>
            </w:r>
            <w:r/>
          </w:p>
        </w:tc>
      </w:tr>
      <w:tr>
        <w:trPr/>
        <w:tc>
          <w:tcPr>
            <w:tcW w:w="1838" w:type="dxa"/>
            <w:textDirection w:val="lrTb"/>
            <w:noWrap w:val="false"/>
          </w:tcPr>
          <w:p>
            <w:pPr>
              <w:jc w:val="right"/>
              <w:rPr>
                <w:rFonts w:cs="Calibri"/>
                <w:b/>
                <w:sz w:val="20"/>
                <w:szCs w:val="20"/>
              </w:rPr>
            </w:pPr>
            <w:r>
              <w:rPr>
                <w:rFonts w:cs="Calibri"/>
                <w:sz w:val="20"/>
                <w:szCs w:val="20"/>
              </w:rPr>
              <w:t xml:space="preserve">Mitigación de riesgo de salud y seguridad</w:t>
            </w:r>
            <w:r/>
          </w:p>
        </w:tc>
        <w:tc>
          <w:tcPr>
            <w:tcW w:w="6372" w:type="dxa"/>
            <w:textDirection w:val="lrTb"/>
            <w:noWrap w:val="false"/>
          </w:tcPr>
          <w:p>
            <w:pPr>
              <w:keepNext/>
              <w:rPr>
                <w:sz w:val="20"/>
                <w:szCs w:val="20"/>
              </w:rPr>
            </w:pPr>
            <w:r>
              <w:rPr>
                <w:sz w:val="20"/>
                <w:szCs w:val="20"/>
              </w:rPr>
              <w:t xml:space="preserve">Grado en que el producto mitiga riesgos potenciales para las personas en los contextos de uso contemplados.</w:t>
            </w:r>
            <w:r/>
          </w:p>
        </w:tc>
      </w:tr>
      <w:tr>
        <w:trPr/>
        <w:tc>
          <w:tcPr>
            <w:tcW w:w="1838" w:type="dxa"/>
            <w:textDirection w:val="lrTb"/>
            <w:noWrap w:val="false"/>
          </w:tcPr>
          <w:p>
            <w:pPr>
              <w:jc w:val="right"/>
              <w:rPr>
                <w:rFonts w:cs="Calibri"/>
                <w:b/>
                <w:sz w:val="20"/>
                <w:szCs w:val="20"/>
              </w:rPr>
            </w:pPr>
            <w:r>
              <w:rPr>
                <w:rFonts w:cs="Calibri"/>
                <w:sz w:val="20"/>
                <w:szCs w:val="20"/>
              </w:rPr>
              <w:t xml:space="preserve">Mitigación de riesgo medioambiental</w:t>
            </w:r>
            <w:r/>
          </w:p>
        </w:tc>
        <w:tc>
          <w:tcPr>
            <w:tcW w:w="6372" w:type="dxa"/>
            <w:textDirection w:val="lrTb"/>
            <w:noWrap w:val="false"/>
          </w:tcPr>
          <w:p>
            <w:pPr>
              <w:keepNext/>
              <w:rPr>
                <w:sz w:val="20"/>
                <w:szCs w:val="20"/>
              </w:rPr>
            </w:pPr>
            <w:r>
              <w:rPr>
                <w:sz w:val="20"/>
                <w:szCs w:val="20"/>
              </w:rPr>
              <w:t xml:space="preserve">Grado en que el producto mitiga potenciales riesgos para la propiedad o el medio ambiente en los contextos de uso contemplados.</w:t>
            </w:r>
            <w:r/>
          </w:p>
        </w:tc>
      </w:tr>
      <w:tr>
        <w:trPr/>
        <w:tc>
          <w:tcPr>
            <w:tcW w:w="1838" w:type="dxa"/>
            <w:textDirection w:val="lrTb"/>
            <w:noWrap w:val="false"/>
          </w:tcPr>
          <w:p>
            <w:pPr>
              <w:jc w:val="left"/>
              <w:rPr>
                <w:rFonts w:cs="Calibri"/>
                <w:b/>
                <w:sz w:val="20"/>
                <w:szCs w:val="20"/>
              </w:rPr>
            </w:pPr>
            <w:r>
              <w:rPr>
                <w:rFonts w:cs="Calibri"/>
                <w:b/>
                <w:sz w:val="20"/>
                <w:szCs w:val="20"/>
              </w:rPr>
              <w:t xml:space="preserve">Cobertura de contexto</w:t>
            </w:r>
            <w:r/>
          </w:p>
        </w:tc>
        <w:tc>
          <w:tcPr>
            <w:tcW w:w="6372" w:type="dxa"/>
            <w:textDirection w:val="lrTb"/>
            <w:noWrap w:val="false"/>
          </w:tcPr>
          <w:p>
            <w:pPr>
              <w:keepNext/>
              <w:rPr>
                <w:sz w:val="20"/>
                <w:szCs w:val="20"/>
              </w:rPr>
            </w:pPr>
            <w:r>
              <w:rPr>
                <w:sz w:val="20"/>
                <w:szCs w:val="20"/>
              </w:rPr>
              <w:t xml:space="preserve">Grado en que el producto puede utilizarse tanto en contextos especificados como en otros no contemplados inicialmente.</w:t>
            </w:r>
            <w:r/>
          </w:p>
        </w:tc>
      </w:tr>
      <w:tr>
        <w:trPr/>
        <w:tc>
          <w:tcPr>
            <w:tcW w:w="1838" w:type="dxa"/>
            <w:textDirection w:val="lrTb"/>
            <w:noWrap w:val="false"/>
          </w:tcPr>
          <w:p>
            <w:pPr>
              <w:jc w:val="right"/>
              <w:rPr>
                <w:rFonts w:cs="Calibri"/>
                <w:b/>
                <w:sz w:val="20"/>
                <w:szCs w:val="20"/>
              </w:rPr>
            </w:pPr>
            <w:r>
              <w:rPr>
                <w:rFonts w:cs="Calibri"/>
                <w:sz w:val="20"/>
                <w:szCs w:val="20"/>
              </w:rPr>
              <w:t xml:space="preserve">Completitud de contexto</w:t>
            </w:r>
            <w:r/>
          </w:p>
        </w:tc>
        <w:tc>
          <w:tcPr>
            <w:tcW w:w="6372" w:type="dxa"/>
            <w:textDirection w:val="lrTb"/>
            <w:noWrap w:val="false"/>
          </w:tcPr>
          <w:p>
            <w:pPr>
              <w:keepNext/>
              <w:rPr>
                <w:sz w:val="20"/>
                <w:szCs w:val="20"/>
              </w:rPr>
            </w:pPr>
            <w:r>
              <w:rPr>
                <w:sz w:val="20"/>
                <w:szCs w:val="20"/>
              </w:rPr>
              <w:t xml:space="preserve">Grado en que el producto puede utilizarse de manera efectiva, eficiente, sin riesgos y con satisfacción en todos los contextos de uso especificados.</w:t>
            </w:r>
            <w:r/>
          </w:p>
        </w:tc>
      </w:tr>
      <w:tr>
        <w:trPr/>
        <w:tc>
          <w:tcPr>
            <w:tcW w:w="1838" w:type="dxa"/>
            <w:textDirection w:val="lrTb"/>
            <w:noWrap w:val="false"/>
          </w:tcPr>
          <w:p>
            <w:pPr>
              <w:jc w:val="right"/>
              <w:rPr>
                <w:rFonts w:cs="Calibri"/>
                <w:b/>
                <w:sz w:val="20"/>
                <w:szCs w:val="20"/>
              </w:rPr>
            </w:pPr>
            <w:r>
              <w:rPr>
                <w:rFonts w:cs="Calibri"/>
                <w:sz w:val="20"/>
                <w:szCs w:val="20"/>
              </w:rPr>
              <w:t xml:space="preserve">Flexibilidad</w:t>
            </w:r>
            <w:r/>
          </w:p>
        </w:tc>
        <w:tc>
          <w:tcPr>
            <w:tcW w:w="6372" w:type="dxa"/>
            <w:textDirection w:val="lrTb"/>
            <w:noWrap w:val="false"/>
          </w:tcPr>
          <w:p>
            <w:pPr>
              <w:keepNext/>
              <w:rPr>
                <w:sz w:val="20"/>
                <w:szCs w:val="20"/>
              </w:rPr>
            </w:pPr>
            <w:r>
              <w:rPr>
                <w:sz w:val="20"/>
                <w:szCs w:val="20"/>
              </w:rPr>
              <w:t xml:space="preserve">Grado en que el producto puede utilizarse de manera efectiva, efi</w:t>
            </w:r>
            <w:r>
              <w:rPr>
                <w:sz w:val="20"/>
                <w:szCs w:val="20"/>
              </w:rPr>
              <w:t xml:space="preserve">ciente, sin riesgos y con satisfacción en contextos diferentes a aquellos especificados en los requisitos. Puede alcanzarse adaptando el producto, y permite que el producto aproveche circunstancias, oportunidades o preferencias no anticipadas inicialmente.</w:t>
            </w:r>
            <w:r/>
          </w:p>
        </w:tc>
      </w:tr>
    </w:tbl>
    <w:p>
      <w:pPr>
        <w:pStyle w:val="478"/>
      </w:pPr>
      <w:r/>
      <w:bookmarkStart w:id="17" w:name="_Ref528263460"/>
      <w:r>
        <w:t xml:space="preserve">Tabla </w:t>
      </w:r>
      <w:r>
        <w:fldChar w:fldCharType="begin"/>
      </w:r>
      <w:r>
        <w:instrText xml:space="preserve"> SEQ Tabla \* ARABIC </w:instrText>
      </w:r>
      <w:r>
        <w:fldChar w:fldCharType="separate"/>
      </w:r>
      <w:r>
        <w:t xml:space="preserve">3</w:t>
      </w:r>
      <w:r>
        <w:fldChar w:fldCharType="end"/>
      </w:r>
      <w:bookmarkEnd w:id="17"/>
      <w:r>
        <w:t xml:space="preserve">. Principales características del modelo de calidad en uso según ISO/IEC 2010:2011.</w:t>
      </w:r>
      <w:r>
        <w:t xml:space="preserve"> </w:t>
      </w:r>
      <w:r>
        <w:br/>
      </w:r>
      <w:r>
        <w:t xml:space="preserve">Fuente: Elaboración propia a partir de</w:t>
      </w:r>
      <w:r>
        <w:t xml:space="preserve"> ISO (2011)</w:t>
      </w:r>
      <w:r/>
    </w:p>
    <w:p>
      <w:r/>
      <w:r/>
    </w:p>
    <w:p>
      <w:pPr>
        <w:sectPr>
          <w:footnotePr/>
          <w:type w:val="nextPage"/>
          <w:pgSz w:w="11906" w:h="16838" w:orient="portrait"/>
          <w:pgMar w:top="1418" w:right="1843" w:bottom="1418" w:left="1843" w:header="1134" w:footer="397"/>
          <w:cols w:num="1" w:sep="0" w:space="708" w:equalWidth="1"/>
          <w:docGrid w:linePitch="360"/>
        </w:sectPr>
      </w:pPr>
      <w:r/>
      <w:r/>
    </w:p>
    <w:p>
      <w:pPr>
        <w:pStyle w:val="490"/>
      </w:pPr>
      <w:r>
        <w:t xml:space="preserve">Modelo de calidad del producto</w:t>
      </w:r>
      <w:r/>
    </w:p>
    <w:p>
      <w:r/>
      <w:r/>
    </w:p>
    <w:p>
      <w:r>
        <w:t xml:space="preserve">ISO/IEC 2510 define un total de </w:t>
      </w:r>
      <w:r>
        <w:t xml:space="preserve">ocho</w:t>
      </w:r>
      <w:r>
        <w:t xml:space="preserve"> características de calidad para el producto software (frente a las </w:t>
      </w:r>
      <w:r>
        <w:t xml:space="preserve">seis</w:t>
      </w:r>
      <w:r>
        <w:t xml:space="preserve"> que definía ISO/IEC 9126) y otras </w:t>
      </w:r>
      <w:r>
        <w:t xml:space="preserve">treinta y una</w:t>
      </w:r>
      <w:r>
        <w:t xml:space="preserve"> </w:t>
      </w:r>
      <w:r>
        <w:t xml:space="preserve">subcaracterísticas</w:t>
      </w:r>
      <w:r>
        <w:t xml:space="preserve">.</w:t>
      </w:r>
      <w:r/>
    </w:p>
    <w:p>
      <w:pPr>
        <w:rPr>
          <w:rFonts w:cs="UnitOT-Light"/>
          <w:iCs/>
          <w:color w:val="595959"/>
          <w:sz w:val="19"/>
          <w:szCs w:val="18"/>
        </w:rPr>
      </w:pPr>
      <w:r>
        <w:rPr>
          <w:rFonts w:cs="UnitOT-Light"/>
          <w:iCs/>
          <w:color w:val="595959"/>
          <w:sz w:val="19"/>
          <w:szCs w:val="18"/>
        </w:rPr>
      </w:r>
      <w:r/>
    </w:p>
    <w:p>
      <w:r>
        <mc:AlternateContent>
          <mc:Choice Requires="wpg">
            <w:drawing>
              <wp:inline xmlns:wp="http://schemas.openxmlformats.org/drawingml/2006/wordprocessingDrawing" distT="0" distB="0" distL="0" distR="0">
                <wp:extent cx="8891270" cy="2955290"/>
                <wp:effectExtent l="0" t="0" r="5080" b="0"/>
                <wp:docPr id="32"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6.png" hidden="0"/>
                        <pic:cNvPicPr>
                          <a:picLocks noChangeAspect="1"/>
                        </pic:cNvPicPr>
                      </pic:nvPicPr>
                      <pic:blipFill>
                        <a:blip r:embed="rId23"/>
                        <a:stretch/>
                      </pic:blipFill>
                      <pic:spPr bwMode="auto">
                        <a:xfrm>
                          <a:off x="0" y="0"/>
                          <a:ext cx="8891270" cy="29552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700.1pt;height:232.7pt;" stroked="false">
                <v:path textboxrect="0,0,0,0"/>
                <v:imagedata r:id="rId23" o:title=""/>
              </v:shape>
            </w:pict>
          </mc:Fallback>
        </mc:AlternateContent>
      </w:r>
      <w:r/>
    </w:p>
    <w:p>
      <w:pPr>
        <w:pStyle w:val="478"/>
        <w:sectPr>
          <w:footnotePr/>
          <w:type w:val="nextPage"/>
          <w:pgSz w:w="16838" w:h="11906" w:orient="landscape"/>
          <w:pgMar w:top="1843" w:right="1418" w:bottom="1843" w:left="1418" w:header="1134" w:footer="397"/>
          <w:cols w:num="1" w:sep="0" w:space="708" w:equalWidth="1"/>
          <w:docGrid w:linePitch="360"/>
        </w:sectPr>
      </w:pPr>
      <w:r/>
      <w:bookmarkStart w:id="18" w:name="_Ref528832712"/>
      <w:r>
        <w:t xml:space="preserve">Figura </w:t>
      </w:r>
      <w:r>
        <w:fldChar w:fldCharType="begin"/>
      </w:r>
      <w:r>
        <w:instrText xml:space="preserve"> SEQ Figura \* ARABIC </w:instrText>
      </w:r>
      <w:r>
        <w:fldChar w:fldCharType="separate"/>
      </w:r>
      <w:r>
        <w:t xml:space="preserve">7</w:t>
      </w:r>
      <w:r>
        <w:fldChar w:fldCharType="end"/>
      </w:r>
      <w:bookmarkEnd w:id="18"/>
      <w:r>
        <w:t xml:space="preserve">. Atributos de calidad según el modelo de calidad de producto de la norma ISO/IEC 25010:2011.</w:t>
      </w:r>
      <w:r>
        <w:t xml:space="preserve"> </w:t>
      </w:r>
      <w:r>
        <w:t xml:space="preserve">Fuente: Elaboración propia a partir de </w:t>
      </w:r>
      <w:r>
        <w:fldChar w:fldCharType="begin"/>
      </w:r>
      <w:r>
        <w:instrText xml:space="preserve"> ADDIN ZOTERO_ITEM CSL_CITATION {"citationID":"8X0l7d3z","properties":{"custom":"ISO (2011)","formattedCitation":"ISO (2011)","plainCitation":"ISO (2011)","noteI</w:instrText>
      </w:r>
      <w:r>
        <w:instrText xml:space="preserve">ndex":0},"citationItems":[{"id":3034,"uris":["http://zotero.org/users/111670/items/F2BTGF5N"],"uri":["http://zotero.org/users/111670/items/F2BTGF5N"],"itemData":{"id":3034,"type":"webpage","title":"ISO/IEC 25010:2011 - SQuaRE: System and software quality m</w:instrText>
      </w:r>
      <w:r>
        <w:instrText xml:space="preserve">odels","URL":"https://www.iso.org/standard/35733.html","author":[{"literal":"ISO"}],"issued":{"date-parts":[["2011"]]},"accessed":{"date-parts":[["2018",10,21]]}}}],"schema":"https://github.com/citation-style-language/schema/raw/master/csl-citation.json"} </w:instrText>
      </w:r>
      <w:r>
        <w:fldChar w:fldCharType="separate"/>
      </w:r>
      <w:r>
        <w:t xml:space="preserve">ISO (2011)</w:t>
      </w:r>
      <w:r>
        <w:fldChar w:fldCharType="end"/>
      </w:r>
      <w:r/>
    </w:p>
    <w:p>
      <w:pPr>
        <w:pStyle w:val="480"/>
        <w:numPr>
          <w:ilvl w:val="0"/>
          <w:numId w:val="30"/>
        </w:numPr>
      </w:pPr>
      <w:r>
        <w:rPr>
          <w:b/>
        </w:rPr>
        <w:t xml:space="preserve">Adecuación funcional (</w:t>
      </w:r>
      <w:r>
        <w:rPr>
          <w:b/>
          <w:i/>
        </w:rPr>
        <w:t xml:space="preserve">functional</w:t>
      </w:r>
      <w:r>
        <w:rPr>
          <w:b/>
          <w:i/>
        </w:rPr>
        <w:t xml:space="preserve"> </w:t>
      </w:r>
      <w:r>
        <w:rPr>
          <w:b/>
          <w:i/>
        </w:rPr>
        <w:t xml:space="preserve">suitability</w:t>
      </w:r>
      <w:r>
        <w:rPr>
          <w:b/>
        </w:rPr>
        <w:t xml:space="preserve">)</w:t>
      </w:r>
      <w:r>
        <w:t xml:space="preserve">. Es la capacidad del producto para proporcionar las funcionalidades que satisfacen necesidades declaradas e implícitas. Contiene las siguientes </w:t>
      </w:r>
      <w:r>
        <w:t xml:space="preserve">subcaracterísticas</w:t>
      </w:r>
      <w:r>
        <w:t xml:space="preserve">:</w:t>
      </w:r>
      <w:r/>
    </w:p>
    <w:p>
      <w:pPr>
        <w:pStyle w:val="480"/>
        <w:ind w:left="284"/>
      </w:pPr>
      <w:r/>
      <w:r/>
    </w:p>
    <w:p>
      <w:pPr>
        <w:pStyle w:val="480"/>
        <w:numPr>
          <w:ilvl w:val="1"/>
          <w:numId w:val="30"/>
        </w:numPr>
      </w:pPr>
      <w:r>
        <w:rPr>
          <w:b/>
        </w:rPr>
        <w:t xml:space="preserve">Completitud funcional</w:t>
      </w:r>
      <w:r>
        <w:t xml:space="preserve">: grado en que las funcionalidades implementadas cubren todas las necesidades y objetivos especificados por el usuario.</w:t>
      </w:r>
      <w:r/>
    </w:p>
    <w:p>
      <w:pPr>
        <w:pStyle w:val="480"/>
        <w:numPr>
          <w:ilvl w:val="1"/>
          <w:numId w:val="30"/>
        </w:numPr>
      </w:pPr>
      <w:r>
        <w:rPr>
          <w:b/>
        </w:rPr>
        <w:t xml:space="preserve">Corrección funcional</w:t>
      </w:r>
      <w:r>
        <w:t xml:space="preserve">: capacidad del producto para proporcionar resultados correctos según el nivel de precisión requerida.</w:t>
      </w:r>
      <w:r/>
    </w:p>
    <w:p>
      <w:pPr>
        <w:pStyle w:val="480"/>
        <w:numPr>
          <w:ilvl w:val="1"/>
          <w:numId w:val="30"/>
        </w:numPr>
      </w:pPr>
      <w:r>
        <w:rPr>
          <w:b/>
        </w:rPr>
        <w:t xml:space="preserve">Pertinencia funcional</w:t>
      </w:r>
      <w:r>
        <w:t xml:space="preserve">: capacidad del producto para proporcionar funcionalidades apropiadas según las tareas y objetivos del usuario.</w:t>
      </w:r>
      <w:r/>
    </w:p>
    <w:p>
      <w:pPr>
        <w:pStyle w:val="480"/>
        <w:ind w:left="567"/>
      </w:pPr>
      <w:r/>
      <w:r/>
    </w:p>
    <w:p>
      <w:pPr>
        <w:pStyle w:val="480"/>
        <w:numPr>
          <w:ilvl w:val="0"/>
          <w:numId w:val="30"/>
        </w:numPr>
      </w:pPr>
      <w:r>
        <w:rPr>
          <w:b/>
        </w:rPr>
        <w:t xml:space="preserve">Eficiencia de desempeño</w:t>
      </w:r>
      <w:r>
        <w:t xml:space="preserve"> (</w:t>
      </w:r>
      <w:r>
        <w:rPr>
          <w:i/>
        </w:rPr>
        <w:t xml:space="preserve">performance </w:t>
      </w:r>
      <w:r>
        <w:rPr>
          <w:i/>
        </w:rPr>
        <w:t xml:space="preserve">eficiency</w:t>
      </w:r>
      <w:r>
        <w:t xml:space="preserve">). Representa el desempeño de sistema relativo a la cantidad de recursos empleados en determinadas condiciones de funcionamiento.  Contiene las siguientes </w:t>
      </w:r>
      <w:r>
        <w:t xml:space="preserve">subcaracterísticas</w:t>
      </w:r>
      <w:r>
        <w:t xml:space="preserve">:</w:t>
      </w:r>
      <w:r/>
    </w:p>
    <w:p>
      <w:pPr>
        <w:pStyle w:val="480"/>
        <w:ind w:left="284"/>
      </w:pPr>
      <w:r/>
      <w:r/>
    </w:p>
    <w:p>
      <w:pPr>
        <w:pStyle w:val="480"/>
        <w:numPr>
          <w:ilvl w:val="1"/>
          <w:numId w:val="30"/>
        </w:numPr>
      </w:pPr>
      <w:r>
        <w:rPr>
          <w:b/>
        </w:rPr>
        <w:t xml:space="preserve">Comportamiento temporal</w:t>
      </w:r>
      <w:r>
        <w:t xml:space="preserve">: m</w:t>
      </w:r>
      <w:r>
        <w:t xml:space="preserve">ide los tiempos de respuesta y procesamiento del sistema cuando realiza sus funcionales según un banco de pruebas (</w:t>
      </w:r>
      <w:r>
        <w:rPr>
          <w:i/>
        </w:rPr>
        <w:t xml:space="preserve">benchmark</w:t>
      </w:r>
      <w:r>
        <w:t xml:space="preserve">) predefinido.</w:t>
      </w:r>
      <w:r/>
    </w:p>
    <w:p>
      <w:pPr>
        <w:pStyle w:val="480"/>
        <w:numPr>
          <w:ilvl w:val="1"/>
          <w:numId w:val="30"/>
        </w:numPr>
      </w:pPr>
      <w:r>
        <w:rPr>
          <w:b/>
        </w:rPr>
        <w:t xml:space="preserve">Utilización de recursos</w:t>
      </w:r>
      <w:r>
        <w:t xml:space="preserve">: c</w:t>
      </w:r>
      <w:r>
        <w:t xml:space="preserve">antidades y tipos de </w:t>
      </w:r>
      <w:r>
        <w:t xml:space="preserve">recursos</w:t>
      </w:r>
      <w:r>
        <w:t xml:space="preserve"> empleados en el funcionamiento del software bajo determinadas condiciones.</w:t>
      </w:r>
      <w:r/>
    </w:p>
    <w:p>
      <w:pPr>
        <w:pStyle w:val="480"/>
        <w:numPr>
          <w:ilvl w:val="1"/>
          <w:numId w:val="30"/>
        </w:numPr>
      </w:pPr>
      <w:r>
        <w:rPr>
          <w:b/>
        </w:rPr>
        <w:t xml:space="preserve">Capacidad</w:t>
      </w:r>
      <w:r>
        <w:t xml:space="preserve">: g</w:t>
      </w:r>
      <w:r>
        <w:t xml:space="preserve">rado en que los límites máximos de un parámetro de un producto o sistema cumple con los </w:t>
      </w:r>
      <w:r>
        <w:t xml:space="preserve">requisitos</w:t>
      </w:r>
      <w:r>
        <w:t xml:space="preserve">.</w:t>
      </w:r>
      <w:r/>
    </w:p>
    <w:p>
      <w:pPr>
        <w:pStyle w:val="480"/>
        <w:ind w:left="567"/>
      </w:pPr>
      <w:r/>
      <w:r/>
    </w:p>
    <w:p>
      <w:pPr>
        <w:pStyle w:val="480"/>
        <w:numPr>
          <w:ilvl w:val="0"/>
          <w:numId w:val="30"/>
        </w:numPr>
      </w:pPr>
      <w:r>
        <w:rPr>
          <w:b/>
        </w:rPr>
        <w:t xml:space="preserve">Compatibilidad (</w:t>
      </w:r>
      <w:r>
        <w:rPr>
          <w:b/>
          <w:i/>
        </w:rPr>
        <w:t xml:space="preserve">compatibility</w:t>
      </w:r>
      <w:r>
        <w:rPr>
          <w:b/>
        </w:rPr>
        <w:t xml:space="preserve">).</w:t>
      </w:r>
      <w:r>
        <w:t xml:space="preserve"> Capacidad de dos o más sistemas</w:t>
      </w:r>
      <w:r>
        <w:t xml:space="preserve">,</w:t>
      </w:r>
      <w:r>
        <w:t xml:space="preserve"> o componentes software</w:t>
      </w:r>
      <w:r>
        <w:t xml:space="preserve">,</w:t>
      </w:r>
      <w:r>
        <w:t xml:space="preserve"> para intercambiar información y/o realizar sus funciones compartiendo el mismo entorno. Contiene las siguientes </w:t>
      </w:r>
      <w:r>
        <w:t xml:space="preserve">subcaracterísticas</w:t>
      </w:r>
      <w:r>
        <w:t xml:space="preserve">:</w:t>
      </w:r>
      <w:r/>
    </w:p>
    <w:p>
      <w:pPr>
        <w:pStyle w:val="480"/>
        <w:ind w:left="284"/>
      </w:pPr>
      <w:r/>
      <w:r/>
    </w:p>
    <w:p>
      <w:pPr>
        <w:pStyle w:val="480"/>
        <w:numPr>
          <w:ilvl w:val="1"/>
          <w:numId w:val="30"/>
        </w:numPr>
      </w:pPr>
      <w:r>
        <w:rPr>
          <w:b/>
        </w:rPr>
        <w:t xml:space="preserve">Coexistencia</w:t>
      </w:r>
      <w:r>
        <w:t xml:space="preserve">: c</w:t>
      </w:r>
      <w:r>
        <w:t xml:space="preserve">apacidad de dos productos para coexistir en un entorno común, compartiendo recursos de manera que uno no perjudique al otro.</w:t>
      </w:r>
      <w:r/>
    </w:p>
    <w:p>
      <w:pPr>
        <w:pStyle w:val="480"/>
        <w:numPr>
          <w:ilvl w:val="1"/>
          <w:numId w:val="30"/>
        </w:numPr>
      </w:pPr>
      <w:r>
        <w:rPr>
          <w:b/>
        </w:rPr>
        <w:t xml:space="preserve">Interoperabilidad</w:t>
      </w:r>
      <w:r>
        <w:t xml:space="preserve">: c</w:t>
      </w:r>
      <w:r>
        <w:t xml:space="preserve">apacidad de dos o más sistemas o componentes para intercambiar información y procesar la información recibida.</w:t>
      </w:r>
      <w:r/>
    </w:p>
    <w:p>
      <w:pPr>
        <w:pStyle w:val="480"/>
        <w:numPr>
          <w:ilvl w:val="0"/>
          <w:numId w:val="30"/>
        </w:numPr>
      </w:pPr>
      <w:r>
        <w:rPr>
          <w:b/>
        </w:rPr>
        <w:t xml:space="preserve">Usabilidad (</w:t>
      </w:r>
      <w:r>
        <w:rPr>
          <w:b/>
          <w:i/>
        </w:rPr>
        <w:t xml:space="preserve">usability</w:t>
      </w:r>
      <w:r>
        <w:rPr>
          <w:b/>
        </w:rPr>
        <w:t xml:space="preserve">)</w:t>
      </w:r>
      <w:r>
        <w:t xml:space="preserve">. Capacidad del producto para ser utilizado, aprendido y comprendido resultando atractivo para el usuario, al ser empleado en determinadas condiciones. Contiene las siguientes </w:t>
      </w:r>
      <w:r>
        <w:t xml:space="preserve">subcaracterísticas</w:t>
      </w:r>
      <w:r>
        <w:t xml:space="preserve">:</w:t>
      </w:r>
      <w:r/>
    </w:p>
    <w:p>
      <w:pPr>
        <w:pStyle w:val="480"/>
        <w:ind w:left="284"/>
      </w:pPr>
      <w:r/>
      <w:r/>
    </w:p>
    <w:p>
      <w:pPr>
        <w:pStyle w:val="480"/>
        <w:numPr>
          <w:ilvl w:val="1"/>
          <w:numId w:val="30"/>
        </w:numPr>
      </w:pPr>
      <w:r>
        <w:rPr>
          <w:b/>
        </w:rPr>
        <w:t xml:space="preserve">Capacidad para reconocer su adecuación</w:t>
      </w:r>
      <w:r>
        <w:t xml:space="preserve">: p</w:t>
      </w:r>
      <w:r>
        <w:t xml:space="preserve">ermite al usuario detectar si el software es adecuado para sus necesidades.</w:t>
      </w:r>
      <w:r/>
    </w:p>
    <w:p>
      <w:pPr>
        <w:pStyle w:val="480"/>
        <w:numPr>
          <w:ilvl w:val="1"/>
          <w:numId w:val="30"/>
        </w:numPr>
      </w:pPr>
      <w:r>
        <w:rPr>
          <w:b/>
        </w:rPr>
        <w:t xml:space="preserve">Capacidad de aprendizaje</w:t>
      </w:r>
      <w:r>
        <w:t xml:space="preserve">: p</w:t>
      </w:r>
      <w:r>
        <w:t xml:space="preserve">ermite al usuario aprender su funcionamiento.</w:t>
      </w:r>
      <w:r/>
    </w:p>
    <w:p>
      <w:pPr>
        <w:pStyle w:val="480"/>
        <w:numPr>
          <w:ilvl w:val="1"/>
          <w:numId w:val="30"/>
        </w:numPr>
      </w:pPr>
      <w:r>
        <w:rPr>
          <w:b/>
        </w:rPr>
        <w:t xml:space="preserve">Capacidad para ser usado</w:t>
      </w:r>
      <w:r>
        <w:t xml:space="preserve">: p</w:t>
      </w:r>
      <w:r>
        <w:t xml:space="preserve">ermite al usuario manejarlo con facilidad.</w:t>
      </w:r>
      <w:r/>
    </w:p>
    <w:p>
      <w:pPr>
        <w:pStyle w:val="480"/>
        <w:numPr>
          <w:ilvl w:val="1"/>
          <w:numId w:val="30"/>
        </w:numPr>
      </w:pPr>
      <w:r>
        <w:rPr>
          <w:b/>
        </w:rPr>
        <w:t xml:space="preserve">Protección contra errores de usuario</w:t>
      </w:r>
      <w:r>
        <w:rPr>
          <w:b/>
        </w:rPr>
        <w:t xml:space="preserve">:</w:t>
      </w:r>
      <w:r>
        <w:t xml:space="preserve"> p</w:t>
      </w:r>
      <w:r>
        <w:t xml:space="preserve">reviene que el usuario pueda cometer un error de manera involuntaria.</w:t>
      </w:r>
      <w:r/>
    </w:p>
    <w:p>
      <w:pPr>
        <w:pStyle w:val="480"/>
        <w:numPr>
          <w:ilvl w:val="1"/>
          <w:numId w:val="30"/>
        </w:numPr>
      </w:pPr>
      <w:r>
        <w:rPr>
          <w:b/>
        </w:rPr>
        <w:t xml:space="preserve">Estética de la interfaz de usuario</w:t>
      </w:r>
      <w:r>
        <w:t xml:space="preserve">: e</w:t>
      </w:r>
      <w:r>
        <w:t xml:space="preserve">s la capacidad del sistema para agradar al usuario y proporcionarle una interacción satisfactoria.</w:t>
      </w:r>
      <w:r/>
    </w:p>
    <w:p>
      <w:pPr>
        <w:pStyle w:val="480"/>
        <w:numPr>
          <w:ilvl w:val="1"/>
          <w:numId w:val="30"/>
        </w:numPr>
      </w:pPr>
      <w:r>
        <w:rPr>
          <w:b/>
        </w:rPr>
        <w:t xml:space="preserve">Accesibilidad</w:t>
      </w:r>
      <w:r>
        <w:rPr>
          <w:b/>
        </w:rPr>
        <w:t xml:space="preserve">: </w:t>
      </w:r>
      <w:r>
        <w:t xml:space="preserve">e</w:t>
      </w:r>
      <w:r>
        <w:t xml:space="preserve">s la capacidad del producto para ser utilizado por usuarios con características especiales o discapacidades.</w:t>
      </w:r>
      <w:r/>
    </w:p>
    <w:p>
      <w:pPr>
        <w:pStyle w:val="480"/>
        <w:ind w:left="567"/>
      </w:pPr>
      <w:r/>
      <w:r/>
    </w:p>
    <w:p>
      <w:pPr>
        <w:pStyle w:val="480"/>
        <w:numPr>
          <w:ilvl w:val="0"/>
          <w:numId w:val="30"/>
        </w:numPr>
      </w:pPr>
      <w:r>
        <w:rPr>
          <w:b/>
        </w:rPr>
        <w:t xml:space="preserve">Fiabilidad (</w:t>
      </w:r>
      <w:r>
        <w:rPr>
          <w:b/>
          <w:i/>
        </w:rPr>
        <w:t xml:space="preserve">reliability</w:t>
      </w:r>
      <w:r>
        <w:rPr>
          <w:b/>
        </w:rPr>
        <w:t xml:space="preserve">)</w:t>
      </w:r>
      <w:r>
        <w:t xml:space="preserve">. Capacidad del producto para desempeñar su función cuando se utiliza en unas determinadas condiciones. Contiene las siguientes </w:t>
      </w:r>
      <w:r>
        <w:t xml:space="preserve">subcaracterísticas</w:t>
      </w:r>
      <w:r>
        <w:t xml:space="preserve">:</w:t>
      </w:r>
      <w:r/>
    </w:p>
    <w:p>
      <w:pPr>
        <w:pStyle w:val="480"/>
        <w:ind w:left="284"/>
      </w:pPr>
      <w:r/>
      <w:r/>
    </w:p>
    <w:p>
      <w:pPr>
        <w:pStyle w:val="480"/>
        <w:numPr>
          <w:ilvl w:val="1"/>
          <w:numId w:val="30"/>
        </w:numPr>
      </w:pPr>
      <w:r>
        <w:rPr>
          <w:b/>
        </w:rPr>
        <w:t xml:space="preserve">Madurez</w:t>
      </w:r>
      <w:r>
        <w:t xml:space="preserve">: e</w:t>
      </w:r>
      <w:r>
        <w:t xml:space="preserve">s la capacidad del sistema para satisfacer las necesidades de fiabilidad en condiciones normales.</w:t>
      </w:r>
      <w:r/>
    </w:p>
    <w:p>
      <w:pPr>
        <w:pStyle w:val="480"/>
        <w:numPr>
          <w:ilvl w:val="1"/>
          <w:numId w:val="30"/>
        </w:numPr>
      </w:pPr>
      <w:r>
        <w:rPr>
          <w:b/>
        </w:rPr>
        <w:t xml:space="preserve">Disponibilidad</w:t>
      </w:r>
      <w:r>
        <w:t xml:space="preserve">: c</w:t>
      </w:r>
      <w:r>
        <w:t xml:space="preserve">apacidad del producto para estar disponible en el momento que se requiere.</w:t>
      </w:r>
      <w:r/>
    </w:p>
    <w:p>
      <w:pPr>
        <w:pStyle w:val="480"/>
        <w:numPr>
          <w:ilvl w:val="1"/>
          <w:numId w:val="30"/>
        </w:numPr>
      </w:pPr>
      <w:r>
        <w:rPr>
          <w:b/>
        </w:rPr>
        <w:t xml:space="preserve">Tolerancia a fallos</w:t>
      </w:r>
      <w:r>
        <w:t xml:space="preserve">: c</w:t>
      </w:r>
      <w:r>
        <w:t xml:space="preserve">apacidad para operar según lo que se espera a pesar de la ocurrencia de fallos en el hardware o en el software.</w:t>
      </w:r>
      <w:r/>
    </w:p>
    <w:p>
      <w:pPr>
        <w:pStyle w:val="480"/>
        <w:numPr>
          <w:ilvl w:val="1"/>
          <w:numId w:val="30"/>
        </w:numPr>
      </w:pPr>
      <w:r>
        <w:rPr>
          <w:b/>
        </w:rPr>
        <w:t xml:space="preserve">Capacidad de recuperación</w:t>
      </w:r>
      <w:r>
        <w:t xml:space="preserve">: c</w:t>
      </w:r>
      <w:r>
        <w:t xml:space="preserve">apacidad del sistema para recuperarse de un fallo, restaurando la información y el estado deseado.</w:t>
      </w:r>
      <w:r/>
    </w:p>
    <w:p>
      <w:pPr>
        <w:pStyle w:val="480"/>
        <w:ind w:left="567"/>
        <w:sectPr>
          <w:footnotePr/>
          <w:type w:val="nextPage"/>
          <w:pgSz w:w="11906" w:h="16838" w:orient="portrait"/>
          <w:pgMar w:top="1418" w:right="1843" w:bottom="1418" w:left="1843" w:header="1134" w:footer="397"/>
          <w:cols w:num="1" w:sep="0" w:space="708" w:equalWidth="1"/>
          <w:docGrid w:linePitch="360"/>
        </w:sectPr>
      </w:pPr>
      <w:r/>
      <w:r/>
    </w:p>
    <w:p>
      <w:pPr>
        <w:pStyle w:val="480"/>
        <w:numPr>
          <w:ilvl w:val="0"/>
          <w:numId w:val="30"/>
        </w:numPr>
      </w:pPr>
      <w:r>
        <w:rPr>
          <w:b/>
        </w:rPr>
        <w:t xml:space="preserve">Seguridad (</w:t>
      </w:r>
      <w:r>
        <w:rPr>
          <w:b/>
          <w:i/>
        </w:rPr>
        <w:t xml:space="preserve">security</w:t>
      </w:r>
      <w:r>
        <w:rPr>
          <w:b/>
        </w:rPr>
        <w:t xml:space="preserve">)</w:t>
      </w:r>
      <w:r>
        <w:t xml:space="preserve">. Capacidad para proteger los datos frente al intento de lectura o modificación de agentes no autorizados. Contiene las siguientes </w:t>
      </w:r>
      <w:r>
        <w:t xml:space="preserve">subcaracterísticas</w:t>
      </w:r>
      <w:r>
        <w:t xml:space="preserve">:</w:t>
      </w:r>
      <w:r/>
    </w:p>
    <w:p>
      <w:pPr>
        <w:pStyle w:val="480"/>
        <w:ind w:left="284"/>
      </w:pPr>
      <w:r/>
      <w:r/>
    </w:p>
    <w:p>
      <w:pPr>
        <w:pStyle w:val="480"/>
        <w:numPr>
          <w:ilvl w:val="1"/>
          <w:numId w:val="30"/>
        </w:numPr>
      </w:pPr>
      <w:r>
        <w:rPr>
          <w:b/>
        </w:rPr>
        <w:t xml:space="preserve">Confidencialidad</w:t>
      </w:r>
      <w:r>
        <w:rPr>
          <w:b/>
        </w:rPr>
        <w:t xml:space="preserve">: </w:t>
      </w:r>
      <w:r>
        <w:t xml:space="preserve">p</w:t>
      </w:r>
      <w:r>
        <w:t xml:space="preserve">rotección contra el acceso accidental o deliberado a la lectura de la información almacenada.</w:t>
      </w:r>
      <w:r/>
    </w:p>
    <w:p>
      <w:pPr>
        <w:pStyle w:val="480"/>
        <w:numPr>
          <w:ilvl w:val="1"/>
          <w:numId w:val="30"/>
        </w:numPr>
      </w:pPr>
      <w:r>
        <w:rPr>
          <w:b/>
        </w:rPr>
        <w:t xml:space="preserve">Integridad</w:t>
      </w:r>
      <w:r>
        <w:t xml:space="preserve">: c</w:t>
      </w:r>
      <w:r>
        <w:t xml:space="preserve">apacidad para prevenir la modificación no autorizada de los datos </w:t>
      </w:r>
      <w:r>
        <w:t xml:space="preserve">d</w:t>
      </w:r>
      <w:r>
        <w:t xml:space="preserve">el propio programa.</w:t>
      </w:r>
      <w:r/>
    </w:p>
    <w:p>
      <w:pPr>
        <w:pStyle w:val="480"/>
        <w:numPr>
          <w:ilvl w:val="1"/>
          <w:numId w:val="30"/>
        </w:numPr>
      </w:pPr>
      <w:r>
        <w:rPr>
          <w:b/>
        </w:rPr>
        <w:t xml:space="preserve">No repudio</w:t>
      </w:r>
      <w:r>
        <w:t xml:space="preserve">: c</w:t>
      </w:r>
      <w:r>
        <w:t xml:space="preserve">apacidad para demostrar el origen de las acciones y eventos, de manera que no puedan ser negados con posterioridad.</w:t>
      </w:r>
      <w:r/>
    </w:p>
    <w:p>
      <w:pPr>
        <w:pStyle w:val="480"/>
        <w:numPr>
          <w:ilvl w:val="1"/>
          <w:numId w:val="30"/>
        </w:numPr>
      </w:pPr>
      <w:r>
        <w:rPr>
          <w:b/>
        </w:rPr>
        <w:t xml:space="preserve">Responsabilidad</w:t>
      </w:r>
      <w:r>
        <w:t xml:space="preserve">: c</w:t>
      </w:r>
      <w:r>
        <w:t xml:space="preserve">apacidad para rastrear las acciones de un agente.</w:t>
      </w:r>
      <w:r/>
    </w:p>
    <w:p>
      <w:pPr>
        <w:pStyle w:val="480"/>
        <w:numPr>
          <w:ilvl w:val="1"/>
          <w:numId w:val="30"/>
        </w:numPr>
      </w:pPr>
      <w:r>
        <w:rPr>
          <w:b/>
        </w:rPr>
        <w:t xml:space="preserve">Autenticidad</w:t>
      </w:r>
      <w:r>
        <w:t xml:space="preserve">: c</w:t>
      </w:r>
      <w:r>
        <w:t xml:space="preserve">apacidad para demostrar la identidad de un usuario o de un recurso del sistema.</w:t>
      </w:r>
      <w:r/>
    </w:p>
    <w:p>
      <w:pPr>
        <w:pStyle w:val="480"/>
        <w:ind w:left="567"/>
      </w:pPr>
      <w:r/>
      <w:r/>
    </w:p>
    <w:p>
      <w:pPr>
        <w:pStyle w:val="480"/>
        <w:numPr>
          <w:ilvl w:val="0"/>
          <w:numId w:val="30"/>
        </w:numPr>
      </w:pPr>
      <w:r>
        <w:rPr>
          <w:b/>
        </w:rPr>
        <w:t xml:space="preserve">Mantenibilidad (</w:t>
      </w:r>
      <w:r>
        <w:rPr>
          <w:b/>
          <w:i/>
        </w:rPr>
        <w:t xml:space="preserve">mantainability</w:t>
      </w:r>
      <w:r>
        <w:rPr>
          <w:b/>
        </w:rPr>
        <w:t xml:space="preserve">).</w:t>
      </w:r>
      <w:r>
        <w:t xml:space="preserve"> Capacidad del producto para ser modificado en función de las nuevas necesidades de manera eficiente. Se contemplan razones evolutivas, correctivas o perfectivas para realizar este mantenimiento. Contiene las siguientes </w:t>
      </w:r>
      <w:r>
        <w:t xml:space="preserve">subcaracterísticas</w:t>
      </w:r>
      <w:r>
        <w:t xml:space="preserve">:</w:t>
      </w:r>
      <w:r/>
    </w:p>
    <w:p>
      <w:pPr>
        <w:pStyle w:val="480"/>
        <w:ind w:left="284"/>
      </w:pPr>
      <w:r/>
      <w:r/>
    </w:p>
    <w:p>
      <w:pPr>
        <w:pStyle w:val="480"/>
        <w:numPr>
          <w:ilvl w:val="1"/>
          <w:numId w:val="30"/>
        </w:numPr>
      </w:pPr>
      <w:r>
        <w:rPr>
          <w:b/>
        </w:rPr>
        <w:t xml:space="preserve">Modularidad</w:t>
      </w:r>
      <w:r>
        <w:t xml:space="preserve">: e</w:t>
      </w:r>
      <w:r>
        <w:t xml:space="preserve">s la capacidad del sistema para permitir la modificación o sustitución de un componente con un impacto mínimo en los demás.</w:t>
      </w:r>
      <w:r/>
    </w:p>
    <w:p>
      <w:pPr>
        <w:pStyle w:val="480"/>
        <w:numPr>
          <w:ilvl w:val="1"/>
          <w:numId w:val="30"/>
        </w:numPr>
      </w:pPr>
      <w:r>
        <w:rPr>
          <w:b/>
        </w:rPr>
        <w:t xml:space="preserve">Reusabilidad</w:t>
      </w:r>
      <w:r>
        <w:rPr>
          <w:b/>
        </w:rPr>
        <w:t xml:space="preserve">: </w:t>
      </w:r>
      <w:r>
        <w:t xml:space="preserve">c</w:t>
      </w:r>
      <w:r>
        <w:t xml:space="preserve">apacidad de un elemento para ser empleado como integrante en diferentes desarrollos.</w:t>
      </w:r>
      <w:r/>
    </w:p>
    <w:p>
      <w:pPr>
        <w:pStyle w:val="480"/>
        <w:numPr>
          <w:ilvl w:val="1"/>
          <w:numId w:val="30"/>
        </w:numPr>
      </w:pPr>
      <w:r>
        <w:rPr>
          <w:b/>
        </w:rPr>
        <w:t xml:space="preserve">Analizabilidad</w:t>
      </w:r>
      <w:r>
        <w:rPr>
          <w:b/>
        </w:rPr>
        <w:t xml:space="preserve">: </w:t>
      </w:r>
      <w:r>
        <w:t xml:space="preserve">h</w:t>
      </w:r>
      <w:r>
        <w:t xml:space="preserve">ace referencia a la facilidad para evaluar el impacto de un cambio sobre el sistema, o diagnosticar deficiencias e identificar su origen.</w:t>
      </w:r>
      <w:r/>
    </w:p>
    <w:p>
      <w:pPr>
        <w:pStyle w:val="480"/>
        <w:numPr>
          <w:ilvl w:val="1"/>
          <w:numId w:val="30"/>
        </w:numPr>
      </w:pPr>
      <w:r>
        <w:rPr>
          <w:b/>
        </w:rPr>
        <w:t xml:space="preserve">Capacidad para ser modificado</w:t>
      </w:r>
      <w:r>
        <w:rPr>
          <w:b/>
        </w:rPr>
        <w:t xml:space="preserve">: e</w:t>
      </w:r>
      <w:r>
        <w:t xml:space="preserve">s la capacidad del producto para ser modificado sin introducir defectos adicionales o afectar su desempeño.</w:t>
      </w:r>
      <w:r/>
    </w:p>
    <w:p>
      <w:pPr>
        <w:pStyle w:val="480"/>
        <w:numPr>
          <w:ilvl w:val="1"/>
          <w:numId w:val="30"/>
        </w:numPr>
      </w:pPr>
      <w:r>
        <w:rPr>
          <w:b/>
        </w:rPr>
        <w:t xml:space="preserve">Testabilidad</w:t>
      </w:r>
      <w:r>
        <w:t xml:space="preserve">, o capacidad para ser probado</w:t>
      </w:r>
      <w:r>
        <w:t xml:space="preserve">: e</w:t>
      </w:r>
      <w:r>
        <w:t xml:space="preserve">s la facilidad para establecer criterios de prueba y realizar las pruebas correspondientes para determinar que se cumplen estos criterios.</w:t>
      </w:r>
      <w:r/>
    </w:p>
    <w:p>
      <w:pPr>
        <w:pStyle w:val="480"/>
        <w:ind w:left="567"/>
      </w:pPr>
      <w:r/>
      <w:r/>
    </w:p>
    <w:p>
      <w:pPr>
        <w:pStyle w:val="480"/>
        <w:numPr>
          <w:ilvl w:val="0"/>
          <w:numId w:val="30"/>
        </w:numPr>
      </w:pPr>
      <w:r>
        <w:rPr>
          <w:b/>
        </w:rPr>
        <w:t xml:space="preserve">Portabilidad</w:t>
      </w:r>
      <w:r>
        <w:t xml:space="preserve"> </w:t>
      </w:r>
      <w:r>
        <w:rPr>
          <w:b/>
        </w:rPr>
        <w:t xml:space="preserve">(</w:t>
      </w:r>
      <w:r>
        <w:rPr>
          <w:b/>
          <w:i/>
        </w:rPr>
        <w:t xml:space="preserve">portability</w:t>
      </w:r>
      <w:r>
        <w:rPr>
          <w:b/>
        </w:rPr>
        <w:t xml:space="preserve">).</w:t>
      </w:r>
      <w:r>
        <w:t xml:space="preserve"> Capacidad del producto para ser transferido a un entorno operacional o de utilización diferente. Contiene las siguientes </w:t>
      </w:r>
      <w:r>
        <w:t xml:space="preserve">subcaracterísticas</w:t>
      </w:r>
      <w:r>
        <w:t xml:space="preserve">:</w:t>
      </w:r>
      <w:r/>
    </w:p>
    <w:p>
      <w:pPr>
        <w:pStyle w:val="480"/>
        <w:ind w:left="284"/>
      </w:pPr>
      <w:r/>
      <w:r/>
    </w:p>
    <w:p>
      <w:pPr>
        <w:pStyle w:val="480"/>
        <w:numPr>
          <w:ilvl w:val="1"/>
          <w:numId w:val="30"/>
        </w:numPr>
      </w:pPr>
      <w:r>
        <w:rPr>
          <w:b/>
        </w:rPr>
        <w:t xml:space="preserve">Adaptabilidad</w:t>
      </w:r>
      <w:r>
        <w:t xml:space="preserve">: e</w:t>
      </w:r>
      <w:r>
        <w:t xml:space="preserve">s la facilidad para adaptar un mismo producto a diferentes entornos operacionales o de uso.</w:t>
      </w:r>
      <w:r/>
    </w:p>
    <w:p>
      <w:pPr>
        <w:pStyle w:val="480"/>
        <w:numPr>
          <w:ilvl w:val="1"/>
          <w:numId w:val="30"/>
        </w:numPr>
      </w:pPr>
      <w:r>
        <w:rPr>
          <w:b/>
        </w:rPr>
        <w:t xml:space="preserve">Capacidad para ser instalado</w:t>
      </w:r>
      <w:r>
        <w:rPr>
          <w:b/>
        </w:rPr>
        <w:t xml:space="preserve">: </w:t>
      </w:r>
      <w:r>
        <w:t xml:space="preserve">e</w:t>
      </w:r>
      <w:r>
        <w:t xml:space="preserve">s la facilidad para instalar o desinstalar el producto en un determinado entorno.</w:t>
      </w:r>
      <w:r/>
    </w:p>
    <w:p>
      <w:pPr>
        <w:pStyle w:val="480"/>
        <w:numPr>
          <w:ilvl w:val="1"/>
          <w:numId w:val="30"/>
        </w:numPr>
      </w:pPr>
      <w:r>
        <w:rPr>
          <w:b/>
        </w:rPr>
        <w:t xml:space="preserve">Capacidad para ser reemplazado</w:t>
      </w:r>
      <w:r>
        <w:rPr>
          <w:b/>
        </w:rPr>
        <w:t xml:space="preserve">: </w:t>
      </w:r>
      <w:r>
        <w:t xml:space="preserve">e</w:t>
      </w:r>
      <w:r>
        <w:t xml:space="preserve">s la capacidad de sustituir un producto para satisfacer el mismo propósito en el mismo entorno.</w:t>
      </w:r>
      <w:r/>
    </w:p>
    <w:p>
      <w:pPr>
        <w:tabs>
          <w:tab w:val="left" w:pos="879" w:leader="none"/>
        </w:tabs>
      </w:pPr>
      <w:r/>
      <w:r/>
    </w:p>
    <w:p>
      <w:pPr>
        <w:tabs>
          <w:tab w:val="left" w:pos="879" w:leader="none"/>
        </w:tabs>
      </w:pPr>
      <w:r/>
      <w:r/>
    </w:p>
    <w:p>
      <w:pPr>
        <w:pStyle w:val="488"/>
      </w:pPr>
      <w:r/>
      <w:bookmarkStart w:id="19" w:name="_Toc535214626"/>
      <w:r>
        <w:t xml:space="preserve">10.6. ISO/IEC 25012: </w:t>
      </w:r>
      <w:r>
        <w:t xml:space="preserve">l</w:t>
      </w:r>
      <w:r>
        <w:t xml:space="preserve">a calidad de los datos</w:t>
      </w:r>
      <w:bookmarkEnd w:id="19"/>
      <w:r/>
      <w:r/>
    </w:p>
    <w:p>
      <w:r/>
      <w:r/>
    </w:p>
    <w:p>
      <w:r>
        <w:t xml:space="preserve">La calidad de los datos viene determinada por el grado en que satisfacen </w:t>
      </w:r>
      <w:r>
        <w:t xml:space="preserve">sus propios </w:t>
      </w:r>
      <w:r>
        <w:t xml:space="preserve">requisitos. </w:t>
      </w:r>
      <w:r>
        <w:rPr>
          <w:b/>
        </w:rPr>
        <w:t xml:space="preserve">El modelo de calidad de datos está compuesto por un total de </w:t>
      </w:r>
      <w:r>
        <w:rPr>
          <w:b/>
        </w:rPr>
        <w:t xml:space="preserve">quince</w:t>
      </w:r>
      <w:r>
        <w:rPr>
          <w:b/>
        </w:rPr>
        <w:t xml:space="preserve"> características que se clasifican en dos grandes categorías</w:t>
      </w:r>
      <w:r>
        <w:t xml:space="preserve">:</w:t>
      </w:r>
      <w:r/>
    </w:p>
    <w:p>
      <w:r/>
      <w:r/>
    </w:p>
    <w:p>
      <w:pPr>
        <w:pStyle w:val="480"/>
        <w:numPr>
          <w:ilvl w:val="0"/>
          <w:numId w:val="31"/>
        </w:numPr>
      </w:pPr>
      <w:r>
        <w:rPr>
          <w:b/>
        </w:rPr>
        <w:t xml:space="preserve">Calidad de datos inherente</w:t>
      </w:r>
      <w:r>
        <w:t xml:space="preserve">: t</w:t>
      </w:r>
      <w:r>
        <w:t xml:space="preserve">iene que ver con el grado en que las características de los datos tienen potencial intrínseco para satisfacer las necesidades del sistema.</w:t>
      </w:r>
      <w:r/>
    </w:p>
    <w:p>
      <w:pPr>
        <w:pStyle w:val="480"/>
        <w:ind w:left="284"/>
      </w:pPr>
      <w:r/>
      <w:r/>
    </w:p>
    <w:p>
      <w:pPr>
        <w:pStyle w:val="480"/>
        <w:numPr>
          <w:ilvl w:val="0"/>
          <w:numId w:val="31"/>
        </w:numPr>
      </w:pPr>
      <w:r>
        <w:rPr>
          <w:b/>
        </w:rPr>
        <w:t xml:space="preserve">Calidad de datos dependiente del sistema</w:t>
      </w:r>
      <w:r>
        <w:t xml:space="preserve">: </w:t>
      </w:r>
      <w:r>
        <w:t xml:space="preserve">g</w:t>
      </w:r>
      <w:r>
        <w:t xml:space="preserve">rado en que la calidad de los datos es alcanzada y preservada durante su utilización en un sistema informático. Depende del dominio tecnológico de uso y de las capacidades de los componentes del sistema. </w:t>
      </w:r>
      <w:r/>
    </w:p>
    <w:p>
      <w:pPr>
        <w:pStyle w:val="480"/>
        <w:ind w:left="284"/>
      </w:pPr>
      <w:r/>
      <w:r/>
    </w:p>
    <w:p>
      <w:r>
        <w:t xml:space="preserve">Las diferentes características que contempla esta norma para la calidad de los datos aparecen recogidas en la </w:t>
      </w:r>
      <w:r>
        <w:t xml:space="preserve">t</w:t>
      </w:r>
      <w:r>
        <w:t xml:space="preserve">abla 4.</w:t>
      </w:r>
      <w:r/>
    </w:p>
    <w:p>
      <w:r/>
      <w:r/>
    </w:p>
    <w:p>
      <w:r/>
      <w:r/>
    </w:p>
    <w:tbl>
      <w:tblPr>
        <w:tblStyle w:val="483"/>
        <w:tblW w:w="0" w:type="auto"/>
        <w:tblLook w:val="04A0" w:firstRow="1" w:lastRow="0" w:firstColumn="1" w:lastColumn="0" w:noHBand="0" w:noVBand="1"/>
      </w:tblPr>
      <w:tblGrid>
        <w:gridCol w:w="1886"/>
        <w:gridCol w:w="6324"/>
      </w:tblGrid>
      <w:tr>
        <w:trPr/>
        <w:tc>
          <w:tcPr>
            <w:gridSpan w:val="2"/>
            <w:shd w:val="clear" w:color="auto" w:fill="0098CE"/>
            <w:tcW w:w="8210" w:type="dxa"/>
            <w:textDirection w:val="lrTb"/>
            <w:noWrap w:val="false"/>
          </w:tcPr>
          <w:p>
            <w:pPr>
              <w:jc w:val="center"/>
              <w:rPr>
                <w:b/>
                <w:sz w:val="22"/>
                <w:szCs w:val="22"/>
              </w:rPr>
            </w:pPr>
            <w:r>
              <w:rPr>
                <w:b/>
                <w:color w:val="FFFFFF" w:themeColor="background1"/>
                <w:sz w:val="22"/>
                <w:szCs w:val="22"/>
              </w:rPr>
              <w:t xml:space="preserve">Características que determinan la calidad inherente</w:t>
            </w:r>
            <w:r/>
          </w:p>
        </w:tc>
      </w:tr>
      <w:tr>
        <w:trPr/>
        <w:tc>
          <w:tcPr>
            <w:tcW w:w="1886" w:type="dxa"/>
            <w:textDirection w:val="lrTb"/>
            <w:noWrap w:val="false"/>
          </w:tcPr>
          <w:p>
            <w:pPr>
              <w:rPr>
                <w:sz w:val="20"/>
                <w:szCs w:val="20"/>
              </w:rPr>
            </w:pPr>
            <w:r>
              <w:rPr>
                <w:b/>
                <w:sz w:val="20"/>
                <w:szCs w:val="20"/>
              </w:rPr>
              <w:t xml:space="preserve">Exactitud</w:t>
            </w:r>
            <w:r/>
          </w:p>
        </w:tc>
        <w:tc>
          <w:tcPr>
            <w:tcW w:w="6324" w:type="dxa"/>
            <w:textDirection w:val="lrTb"/>
            <w:noWrap w:val="false"/>
          </w:tcPr>
          <w:p>
            <w:pPr>
              <w:rPr>
                <w:sz w:val="20"/>
                <w:szCs w:val="20"/>
              </w:rPr>
            </w:pPr>
            <w:r>
              <w:rPr>
                <w:sz w:val="20"/>
                <w:szCs w:val="20"/>
              </w:rPr>
              <w:t xml:space="preserve">Grado en que los datos representan correctamente el verdadero valor del atributo que representan</w:t>
            </w:r>
            <w:r>
              <w:rPr>
                <w:sz w:val="20"/>
                <w:szCs w:val="20"/>
              </w:rPr>
              <w:t xml:space="preserve">.</w:t>
            </w:r>
            <w:r/>
          </w:p>
        </w:tc>
      </w:tr>
      <w:tr>
        <w:trPr/>
        <w:tc>
          <w:tcPr>
            <w:tcW w:w="1886" w:type="dxa"/>
            <w:textDirection w:val="lrTb"/>
            <w:noWrap w:val="false"/>
          </w:tcPr>
          <w:p>
            <w:pPr>
              <w:rPr>
                <w:sz w:val="20"/>
                <w:szCs w:val="20"/>
              </w:rPr>
            </w:pPr>
            <w:r>
              <w:rPr>
                <w:b/>
                <w:sz w:val="20"/>
                <w:szCs w:val="20"/>
              </w:rPr>
              <w:t xml:space="preserve">Completitud</w:t>
            </w:r>
            <w:r/>
          </w:p>
        </w:tc>
        <w:tc>
          <w:tcPr>
            <w:tcW w:w="6324" w:type="dxa"/>
            <w:textDirection w:val="lrTb"/>
            <w:noWrap w:val="false"/>
          </w:tcPr>
          <w:p>
            <w:pPr>
              <w:rPr>
                <w:sz w:val="20"/>
                <w:szCs w:val="20"/>
              </w:rPr>
            </w:pPr>
            <w:r>
              <w:rPr>
                <w:sz w:val="20"/>
                <w:szCs w:val="20"/>
              </w:rPr>
              <w:t xml:space="preserve">Grado en que los datos asociados a la entidad representada tienen valores para todos los atributos esperados</w:t>
            </w:r>
            <w:r>
              <w:rPr>
                <w:sz w:val="20"/>
                <w:szCs w:val="20"/>
              </w:rPr>
              <w:t xml:space="preserve">.</w:t>
            </w:r>
            <w:r/>
          </w:p>
        </w:tc>
      </w:tr>
      <w:tr>
        <w:trPr/>
        <w:tc>
          <w:tcPr>
            <w:tcW w:w="1886" w:type="dxa"/>
            <w:textDirection w:val="lrTb"/>
            <w:noWrap w:val="false"/>
          </w:tcPr>
          <w:p>
            <w:pPr>
              <w:rPr>
                <w:sz w:val="20"/>
                <w:szCs w:val="20"/>
              </w:rPr>
            </w:pPr>
            <w:r>
              <w:rPr>
                <w:b/>
                <w:sz w:val="20"/>
                <w:szCs w:val="20"/>
              </w:rPr>
              <w:t xml:space="preserve">Consistencia</w:t>
            </w:r>
            <w:r/>
          </w:p>
        </w:tc>
        <w:tc>
          <w:tcPr>
            <w:tcW w:w="6324" w:type="dxa"/>
            <w:textDirection w:val="lrTb"/>
            <w:noWrap w:val="false"/>
          </w:tcPr>
          <w:p>
            <w:pPr>
              <w:rPr>
                <w:sz w:val="20"/>
                <w:szCs w:val="20"/>
              </w:rPr>
            </w:pPr>
            <w:r>
              <w:rPr>
                <w:sz w:val="20"/>
                <w:szCs w:val="20"/>
              </w:rPr>
              <w:t xml:space="preserve">Grado en que los datos no se contradicen entre sí y son coherentes con otros datos</w:t>
            </w:r>
            <w:r>
              <w:rPr>
                <w:sz w:val="20"/>
                <w:szCs w:val="20"/>
              </w:rPr>
              <w:t xml:space="preserve">.</w:t>
            </w:r>
            <w:r/>
          </w:p>
        </w:tc>
      </w:tr>
      <w:tr>
        <w:trPr/>
        <w:tc>
          <w:tcPr>
            <w:tcW w:w="1886" w:type="dxa"/>
            <w:textDirection w:val="lrTb"/>
            <w:noWrap w:val="false"/>
          </w:tcPr>
          <w:p>
            <w:pPr>
              <w:rPr>
                <w:sz w:val="20"/>
                <w:szCs w:val="20"/>
              </w:rPr>
            </w:pPr>
            <w:r>
              <w:rPr>
                <w:b/>
                <w:sz w:val="20"/>
                <w:szCs w:val="20"/>
              </w:rPr>
              <w:t xml:space="preserve">Credibilidad</w:t>
            </w:r>
            <w:r/>
          </w:p>
        </w:tc>
        <w:tc>
          <w:tcPr>
            <w:tcW w:w="6324" w:type="dxa"/>
            <w:textDirection w:val="lrTb"/>
            <w:noWrap w:val="false"/>
          </w:tcPr>
          <w:p>
            <w:pPr>
              <w:rPr>
                <w:sz w:val="20"/>
                <w:szCs w:val="20"/>
              </w:rPr>
            </w:pPr>
            <w:r>
              <w:rPr>
                <w:sz w:val="20"/>
                <w:szCs w:val="20"/>
              </w:rPr>
              <w:t xml:space="preserve">Grado en que los datos almacenan valores verdaderos y creíbles</w:t>
            </w:r>
            <w:r>
              <w:rPr>
                <w:sz w:val="20"/>
                <w:szCs w:val="20"/>
              </w:rPr>
              <w:t xml:space="preserve">.</w:t>
            </w:r>
            <w:r/>
          </w:p>
        </w:tc>
      </w:tr>
      <w:tr>
        <w:trPr/>
        <w:tc>
          <w:tcPr>
            <w:tcW w:w="1886" w:type="dxa"/>
            <w:textDirection w:val="lrTb"/>
            <w:noWrap w:val="false"/>
          </w:tcPr>
          <w:p>
            <w:pPr>
              <w:rPr>
                <w:sz w:val="20"/>
                <w:szCs w:val="20"/>
              </w:rPr>
            </w:pPr>
            <w:r>
              <w:rPr>
                <w:b/>
                <w:sz w:val="20"/>
                <w:szCs w:val="20"/>
              </w:rPr>
              <w:t xml:space="preserve">Actualidad</w:t>
            </w:r>
            <w:r/>
          </w:p>
        </w:tc>
        <w:tc>
          <w:tcPr>
            <w:tcW w:w="6324" w:type="dxa"/>
            <w:textDirection w:val="lrTb"/>
            <w:noWrap w:val="false"/>
          </w:tcPr>
          <w:p>
            <w:pPr>
              <w:rPr>
                <w:sz w:val="20"/>
                <w:szCs w:val="20"/>
              </w:rPr>
            </w:pPr>
            <w:r>
              <w:rPr>
                <w:sz w:val="20"/>
                <w:szCs w:val="20"/>
              </w:rPr>
              <w:t xml:space="preserve">Grado en que los datos representan el verdadero valor de la entidad representada en un momento dado</w:t>
            </w:r>
            <w:r>
              <w:rPr>
                <w:sz w:val="20"/>
                <w:szCs w:val="20"/>
              </w:rPr>
              <w:t xml:space="preserve">.</w:t>
            </w:r>
            <w:r/>
          </w:p>
        </w:tc>
      </w:tr>
      <w:tr>
        <w:trPr/>
        <w:tc>
          <w:tcPr>
            <w:gridSpan w:val="2"/>
            <w:shd w:val="clear" w:color="auto" w:fill="0098CE"/>
            <w:tcW w:w="8210" w:type="dxa"/>
            <w:textDirection w:val="lrTb"/>
            <w:noWrap w:val="false"/>
          </w:tcPr>
          <w:p>
            <w:pPr>
              <w:jc w:val="center"/>
              <w:rPr>
                <w:b/>
                <w:sz w:val="22"/>
                <w:szCs w:val="22"/>
              </w:rPr>
            </w:pPr>
            <w:r>
              <w:rPr>
                <w:b/>
                <w:color w:val="FFFFFF" w:themeColor="background1"/>
                <w:sz w:val="22"/>
                <w:szCs w:val="22"/>
              </w:rPr>
              <w:t xml:space="preserve">Características que determinan la calidad dependiente del sistema</w:t>
            </w:r>
            <w:r/>
          </w:p>
        </w:tc>
      </w:tr>
      <w:tr>
        <w:trPr/>
        <w:tc>
          <w:tcPr>
            <w:tcW w:w="1886" w:type="dxa"/>
            <w:textDirection w:val="lrTb"/>
            <w:noWrap w:val="false"/>
          </w:tcPr>
          <w:p>
            <w:pPr>
              <w:rPr>
                <w:b/>
                <w:sz w:val="20"/>
                <w:szCs w:val="20"/>
              </w:rPr>
            </w:pPr>
            <w:r>
              <w:rPr>
                <w:b/>
                <w:sz w:val="20"/>
                <w:szCs w:val="20"/>
              </w:rPr>
              <w:t xml:space="preserve">Accesibilidad</w:t>
            </w:r>
            <w:r/>
          </w:p>
        </w:tc>
        <w:tc>
          <w:tcPr>
            <w:tcW w:w="6324" w:type="dxa"/>
            <w:textDirection w:val="lrTb"/>
            <w:noWrap w:val="false"/>
          </w:tcPr>
          <w:p>
            <w:pPr>
              <w:rPr>
                <w:sz w:val="20"/>
                <w:szCs w:val="20"/>
              </w:rPr>
            </w:pPr>
            <w:r>
              <w:rPr>
                <w:sz w:val="20"/>
                <w:szCs w:val="20"/>
              </w:rPr>
              <w:t xml:space="preserve">Grado en que resulta fácil consultar los datos en un contexto de uso y</w:t>
            </w:r>
            <w:r>
              <w:rPr>
                <w:sz w:val="20"/>
                <w:szCs w:val="20"/>
              </w:rPr>
              <w:t xml:space="preserve">,</w:t>
            </w:r>
            <w:r>
              <w:rPr>
                <w:sz w:val="20"/>
                <w:szCs w:val="20"/>
              </w:rPr>
              <w:t xml:space="preserve"> particularmente</w:t>
            </w:r>
            <w:r>
              <w:rPr>
                <w:sz w:val="20"/>
                <w:szCs w:val="20"/>
              </w:rPr>
              <w:t xml:space="preserve">,</w:t>
            </w:r>
            <w:r>
              <w:rPr>
                <w:sz w:val="20"/>
                <w:szCs w:val="20"/>
              </w:rPr>
              <w:t xml:space="preserve"> cuando las personas que los necesitan presentan algún tipo de necesidad especial</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Conformidad</w:t>
            </w:r>
            <w:r/>
          </w:p>
        </w:tc>
        <w:tc>
          <w:tcPr>
            <w:tcW w:w="6324" w:type="dxa"/>
            <w:textDirection w:val="lrTb"/>
            <w:noWrap w:val="false"/>
          </w:tcPr>
          <w:p>
            <w:pPr>
              <w:keepNext/>
              <w:rPr>
                <w:sz w:val="20"/>
                <w:szCs w:val="20"/>
              </w:rPr>
            </w:pPr>
            <w:r>
              <w:rPr>
                <w:sz w:val="20"/>
                <w:szCs w:val="20"/>
              </w:rPr>
              <w:t xml:space="preserve">Grado en que los atributos de los datos se adhieren a convenciones, normativas o estándares vigentes</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Confidencialidad</w:t>
            </w:r>
            <w:r/>
          </w:p>
        </w:tc>
        <w:tc>
          <w:tcPr>
            <w:tcW w:w="6324" w:type="dxa"/>
            <w:textDirection w:val="lrTb"/>
            <w:noWrap w:val="false"/>
          </w:tcPr>
          <w:p>
            <w:pPr>
              <w:keepNext/>
              <w:rPr>
                <w:sz w:val="20"/>
                <w:szCs w:val="20"/>
              </w:rPr>
            </w:pPr>
            <w:r>
              <w:rPr>
                <w:sz w:val="20"/>
                <w:szCs w:val="20"/>
              </w:rPr>
              <w:t xml:space="preserve">Grado en que se garantiza que </w:t>
            </w:r>
            <w:r>
              <w:rPr>
                <w:sz w:val="20"/>
                <w:szCs w:val="20"/>
              </w:rPr>
              <w:t xml:space="preserve">solo</w:t>
            </w:r>
            <w:r>
              <w:rPr>
                <w:sz w:val="20"/>
                <w:szCs w:val="20"/>
              </w:rPr>
              <w:t xml:space="preserve"> acceden a los datos los usuarios autorizados</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Eficiencia</w:t>
            </w:r>
            <w:r/>
          </w:p>
        </w:tc>
        <w:tc>
          <w:tcPr>
            <w:tcW w:w="6324" w:type="dxa"/>
            <w:textDirection w:val="lrTb"/>
            <w:noWrap w:val="false"/>
          </w:tcPr>
          <w:p>
            <w:pPr>
              <w:keepNext/>
              <w:rPr>
                <w:sz w:val="20"/>
                <w:szCs w:val="20"/>
              </w:rPr>
            </w:pPr>
            <w:r>
              <w:rPr>
                <w:sz w:val="20"/>
                <w:szCs w:val="20"/>
              </w:rPr>
              <w:t xml:space="preserve">Grado en que el procesamiento de los datos es posible según el nivel de rendimiento esperado.</w:t>
            </w:r>
            <w:r/>
          </w:p>
        </w:tc>
      </w:tr>
      <w:tr>
        <w:trPr/>
        <w:tc>
          <w:tcPr>
            <w:tcW w:w="1886" w:type="dxa"/>
            <w:textDirection w:val="lrTb"/>
            <w:noWrap w:val="false"/>
          </w:tcPr>
          <w:p>
            <w:pPr>
              <w:rPr>
                <w:b/>
                <w:sz w:val="20"/>
                <w:szCs w:val="20"/>
              </w:rPr>
            </w:pPr>
            <w:r>
              <w:rPr>
                <w:b/>
                <w:sz w:val="20"/>
                <w:szCs w:val="20"/>
              </w:rPr>
              <w:t xml:space="preserve">Precisión</w:t>
            </w:r>
            <w:r/>
          </w:p>
        </w:tc>
        <w:tc>
          <w:tcPr>
            <w:tcW w:w="6324" w:type="dxa"/>
            <w:textDirection w:val="lrTb"/>
            <w:noWrap w:val="false"/>
          </w:tcPr>
          <w:p>
            <w:pPr>
              <w:keepNext/>
              <w:rPr>
                <w:sz w:val="20"/>
                <w:szCs w:val="20"/>
              </w:rPr>
            </w:pPr>
            <w:r>
              <w:rPr>
                <w:sz w:val="20"/>
                <w:szCs w:val="20"/>
              </w:rPr>
              <w:t xml:space="preserve">Grado en que los datos proporcionan el nivel de exactitud necesario para el uso específico.</w:t>
            </w:r>
            <w:r/>
          </w:p>
        </w:tc>
      </w:tr>
      <w:tr>
        <w:trPr/>
        <w:tc>
          <w:tcPr>
            <w:tcW w:w="1886" w:type="dxa"/>
            <w:textDirection w:val="lrTb"/>
            <w:noWrap w:val="false"/>
          </w:tcPr>
          <w:p>
            <w:pPr>
              <w:rPr>
                <w:b/>
                <w:sz w:val="20"/>
                <w:szCs w:val="20"/>
              </w:rPr>
            </w:pPr>
            <w:r>
              <w:rPr>
                <w:b/>
                <w:sz w:val="20"/>
                <w:szCs w:val="20"/>
              </w:rPr>
              <w:t xml:space="preserve">Trazabilidad</w:t>
            </w:r>
            <w:r/>
          </w:p>
        </w:tc>
        <w:tc>
          <w:tcPr>
            <w:tcW w:w="6324" w:type="dxa"/>
            <w:textDirection w:val="lrTb"/>
            <w:noWrap w:val="false"/>
          </w:tcPr>
          <w:p>
            <w:pPr>
              <w:keepNext/>
              <w:rPr>
                <w:sz w:val="20"/>
                <w:szCs w:val="20"/>
              </w:rPr>
            </w:pPr>
            <w:r>
              <w:rPr>
                <w:sz w:val="20"/>
                <w:szCs w:val="20"/>
              </w:rPr>
              <w:t xml:space="preserve">Grado en que la manera de acceder a los datos o sus modificaciones puede ser determinada o auditada</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Comprensibilidad</w:t>
            </w:r>
            <w:r/>
          </w:p>
        </w:tc>
        <w:tc>
          <w:tcPr>
            <w:tcW w:w="6324" w:type="dxa"/>
            <w:textDirection w:val="lrTb"/>
            <w:noWrap w:val="false"/>
          </w:tcPr>
          <w:p>
            <w:pPr>
              <w:keepNext/>
              <w:rPr>
                <w:sz w:val="20"/>
                <w:szCs w:val="20"/>
              </w:rPr>
            </w:pPr>
            <w:r>
              <w:rPr>
                <w:sz w:val="20"/>
                <w:szCs w:val="20"/>
              </w:rPr>
              <w:t xml:space="preserve">Grado en que los valores de los datos pueden ser interpretados y expresados mediante el lenguaje, simbología o unidades apropiados.</w:t>
            </w:r>
            <w:r/>
          </w:p>
        </w:tc>
      </w:tr>
      <w:tr>
        <w:trPr/>
        <w:tc>
          <w:tcPr>
            <w:tcW w:w="1886" w:type="dxa"/>
            <w:textDirection w:val="lrTb"/>
            <w:noWrap w:val="false"/>
          </w:tcPr>
          <w:p>
            <w:pPr>
              <w:rPr>
                <w:b/>
                <w:sz w:val="20"/>
                <w:szCs w:val="20"/>
              </w:rPr>
            </w:pPr>
            <w:r>
              <w:rPr>
                <w:b/>
                <w:sz w:val="20"/>
                <w:szCs w:val="20"/>
              </w:rPr>
              <w:t xml:space="preserve">Disponibilidad</w:t>
            </w:r>
            <w:r/>
          </w:p>
        </w:tc>
        <w:tc>
          <w:tcPr>
            <w:tcW w:w="6324" w:type="dxa"/>
            <w:textDirection w:val="lrTb"/>
            <w:noWrap w:val="false"/>
          </w:tcPr>
          <w:p>
            <w:pPr>
              <w:keepNext/>
              <w:rPr>
                <w:sz w:val="20"/>
                <w:szCs w:val="20"/>
              </w:rPr>
            </w:pPr>
            <w:r>
              <w:rPr>
                <w:sz w:val="20"/>
                <w:szCs w:val="20"/>
              </w:rPr>
              <w:t xml:space="preserve">Grado en el que es posible acceder a los datos según </w:t>
            </w:r>
            <w:r>
              <w:rPr>
                <w:sz w:val="20"/>
                <w:szCs w:val="20"/>
              </w:rPr>
              <w:t xml:space="preserve">s</w:t>
            </w:r>
            <w:r>
              <w:rPr>
                <w:sz w:val="20"/>
                <w:szCs w:val="20"/>
              </w:rPr>
              <w:t xml:space="preserve">e necesitan</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Portabilidad</w:t>
            </w:r>
            <w:r/>
          </w:p>
        </w:tc>
        <w:tc>
          <w:tcPr>
            <w:tcW w:w="6324" w:type="dxa"/>
            <w:textDirection w:val="lrTb"/>
            <w:noWrap w:val="false"/>
          </w:tcPr>
          <w:p>
            <w:pPr>
              <w:keepNext/>
              <w:rPr>
                <w:sz w:val="20"/>
                <w:szCs w:val="20"/>
              </w:rPr>
            </w:pPr>
            <w:r>
              <w:rPr>
                <w:sz w:val="20"/>
                <w:szCs w:val="20"/>
              </w:rPr>
              <w:t xml:space="preserve">Grado en el que es posible transferir los datos de un sistema a otro</w:t>
            </w:r>
            <w:r>
              <w:rPr>
                <w:sz w:val="20"/>
                <w:szCs w:val="20"/>
              </w:rPr>
              <w:t xml:space="preserve">.</w:t>
            </w:r>
            <w:r/>
          </w:p>
        </w:tc>
      </w:tr>
      <w:tr>
        <w:trPr/>
        <w:tc>
          <w:tcPr>
            <w:tcW w:w="1886" w:type="dxa"/>
            <w:textDirection w:val="lrTb"/>
            <w:noWrap w:val="false"/>
          </w:tcPr>
          <w:p>
            <w:pPr>
              <w:rPr>
                <w:b/>
                <w:sz w:val="20"/>
                <w:szCs w:val="20"/>
              </w:rPr>
            </w:pPr>
            <w:r>
              <w:rPr>
                <w:b/>
                <w:sz w:val="20"/>
                <w:szCs w:val="20"/>
              </w:rPr>
              <w:t xml:space="preserve">Recuperabilidad</w:t>
            </w:r>
            <w:r/>
          </w:p>
        </w:tc>
        <w:tc>
          <w:tcPr>
            <w:tcW w:w="6324" w:type="dxa"/>
            <w:textDirection w:val="lrTb"/>
            <w:noWrap w:val="false"/>
          </w:tcPr>
          <w:p>
            <w:pPr>
              <w:keepNext/>
              <w:rPr>
                <w:sz w:val="20"/>
                <w:szCs w:val="20"/>
              </w:rPr>
            </w:pPr>
            <w:r>
              <w:rPr>
                <w:sz w:val="20"/>
                <w:szCs w:val="20"/>
              </w:rPr>
              <w:t xml:space="preserve">Grado en que es posible mantener un cierto nivel de calidad en los datos a través del tiempo, e incluso en caso de fallo</w:t>
            </w:r>
            <w:r>
              <w:rPr>
                <w:sz w:val="20"/>
                <w:szCs w:val="20"/>
              </w:rPr>
              <w:t xml:space="preserve">.</w:t>
            </w:r>
            <w:r/>
          </w:p>
        </w:tc>
      </w:tr>
    </w:tbl>
    <w:p>
      <w:pPr>
        <w:pStyle w:val="478"/>
        <w:sectPr>
          <w:footnotePr/>
          <w:type w:val="nextPage"/>
          <w:pgSz w:w="11906" w:h="16838" w:orient="portrait"/>
          <w:pgMar w:top="1418" w:right="1843" w:bottom="1418" w:left="1843" w:header="1134" w:footer="397"/>
          <w:cols w:num="1" w:sep="0" w:space="708" w:equalWidth="1"/>
          <w:docGrid w:linePitch="360"/>
        </w:sectPr>
      </w:pPr>
      <w:r/>
      <w:bookmarkStart w:id="20" w:name="_Ref528262045"/>
      <w:r>
        <w:t xml:space="preserve">Tabla </w:t>
      </w:r>
      <w:r>
        <w:fldChar w:fldCharType="begin"/>
      </w:r>
      <w:r>
        <w:instrText xml:space="preserve"> SEQ Tabla \* ARABIC </w:instrText>
      </w:r>
      <w:r>
        <w:fldChar w:fldCharType="separate"/>
      </w:r>
      <w:r>
        <w:t xml:space="preserve">4</w:t>
      </w:r>
      <w:r>
        <w:fldChar w:fldCharType="end"/>
      </w:r>
      <w:bookmarkEnd w:id="20"/>
      <w:r>
        <w:t xml:space="preserve">. Características de calidad de los datos.</w:t>
      </w:r>
      <w:r>
        <w:br/>
        <w:t xml:space="preserve">Fuente: Elaboración propia a partir del Modelo de Calidad de Datos de ISO/IEC 2012:2008 </w:t>
      </w:r>
      <w:r>
        <w:t xml:space="preserve">ISO (2008)</w:t>
      </w:r>
      <w:r/>
    </w:p>
    <w:p>
      <w:pPr>
        <w:pStyle w:val="488"/>
      </w:pPr>
      <w:r/>
      <w:bookmarkStart w:id="21" w:name="_Toc535214627"/>
      <w:r>
        <w:t xml:space="preserve">10.7. ISO/IEC 25020: </w:t>
      </w:r>
      <w:r>
        <w:t xml:space="preserve">m</w:t>
      </w:r>
      <w:r>
        <w:t xml:space="preserve">edición de la calidad del software</w:t>
      </w:r>
      <w:bookmarkEnd w:id="21"/>
      <w:r/>
      <w:r/>
    </w:p>
    <w:p>
      <w:r/>
      <w:r/>
    </w:p>
    <w:p>
      <w:r>
        <w:t xml:space="preserve">La norma ISO/IEC 25020:2016 presenta un modelo de referencia para la medida de la calidad del producto software. </w:t>
      </w:r>
      <w:r>
        <w:rPr>
          <w:b/>
        </w:rPr>
        <w:t xml:space="preserve">Describe la relación </w:t>
      </w:r>
      <w:r>
        <w:rPr>
          <w:b/>
        </w:rPr>
        <w:t xml:space="preserve">entre </w:t>
      </w:r>
      <w:r>
        <w:rPr>
          <w:b/>
        </w:rPr>
        <w:t xml:space="preserve">el modelo de calidad</w:t>
      </w:r>
      <w:r>
        <w:rPr>
          <w:b/>
        </w:rPr>
        <w:t xml:space="preserve">,</w:t>
      </w:r>
      <w:r>
        <w:rPr>
          <w:b/>
        </w:rPr>
        <w:t xml:space="preserve"> sus características, los atributos del producto y sus correspondientes medidas de calidad, funciones y métodos de medición </w:t>
      </w:r>
      <w:r>
        <w:t xml:space="preserve">(ISO, 2007). La norma también proporciona ejemplos de criterios para seleccionar las medidas de calidad.</w:t>
      </w:r>
      <w:r/>
    </w:p>
    <w:p>
      <w:r/>
      <w:r/>
    </w:p>
    <w:p>
      <w:pPr>
        <w:jc w:val="center"/>
      </w:pPr>
      <w:r>
        <mc:AlternateContent>
          <mc:Choice Requires="wpg">
            <w:drawing>
              <wp:inline xmlns:wp="http://schemas.openxmlformats.org/drawingml/2006/wordprocessingDrawing" distT="0" distB="0" distL="0" distR="0">
                <wp:extent cx="5219700" cy="3013710"/>
                <wp:effectExtent l="0" t="0" r="0" b="0"/>
                <wp:docPr id="33" name="Imagen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7.png" hidden="0"/>
                        <pic:cNvPicPr>
                          <a:picLocks noChangeAspect="1"/>
                        </pic:cNvPicPr>
                      </pic:nvPicPr>
                      <pic:blipFill>
                        <a:blip r:embed="rId24"/>
                        <a:stretch/>
                      </pic:blipFill>
                      <pic:spPr bwMode="auto">
                        <a:xfrm>
                          <a:off x="0" y="0"/>
                          <a:ext cx="5219700" cy="30137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1.0pt;height:237.3pt;" stroked="false">
                <v:path textboxrect="0,0,0,0"/>
                <v:imagedata r:id="rId24" o:title=""/>
              </v:shape>
            </w:pict>
          </mc:Fallback>
        </mc:AlternateContent>
      </w:r>
      <w:r/>
    </w:p>
    <w:p>
      <w:pPr>
        <w:pStyle w:val="478"/>
      </w:pPr>
      <w:r>
        <w:tab/>
      </w:r>
      <w:r>
        <w:t xml:space="preserve">Figura </w:t>
      </w:r>
      <w:r>
        <w:fldChar w:fldCharType="begin"/>
      </w:r>
      <w:r>
        <w:instrText xml:space="preserve"> SEQ Figura \* ARABIC </w:instrText>
      </w:r>
      <w:r>
        <w:fldChar w:fldCharType="separate"/>
      </w:r>
      <w:r>
        <w:t xml:space="preserve">8</w:t>
      </w:r>
      <w:r>
        <w:fldChar w:fldCharType="end"/>
      </w:r>
      <w:r>
        <w:t xml:space="preserve">. Relación entre los requisitos y la calidad del producto, y los diferentes niveles de evaluación.</w:t>
      </w:r>
      <w:r>
        <w:br/>
        <w:t xml:space="preserve">Fuente:</w:t>
      </w:r>
      <w:r>
        <w:t xml:space="preserve"> Subcomité7 (2016)</w:t>
      </w:r>
      <w:r/>
    </w:p>
    <w:p>
      <w:r/>
      <w:r/>
    </w:p>
    <w:p>
      <w:r>
        <w:t xml:space="preserve">La </w:t>
      </w:r>
      <w:r>
        <w:t xml:space="preserve">f</w:t>
      </w:r>
      <w:r>
        <w:t xml:space="preserve">igura 9 representa las relaciones entre las diferentes normas que componen la división de medición de la calidad.</w:t>
      </w:r>
      <w:r/>
    </w:p>
    <w:p>
      <w:pPr>
        <w:rPr>
          <w:rFonts w:cs="UnitOT-Light"/>
          <w:iCs/>
          <w:color w:val="595959"/>
          <w:sz w:val="19"/>
          <w:szCs w:val="18"/>
        </w:rPr>
      </w:pPr>
      <w:r>
        <w:rPr>
          <w:rFonts w:cs="UnitOT-Light"/>
          <w:iCs/>
          <w:color w:val="595959"/>
          <w:sz w:val="19"/>
          <w:szCs w:val="18"/>
        </w:rPr>
      </w:r>
      <w:r/>
    </w:p>
    <w:p>
      <w:r/>
      <w:r/>
    </w:p>
    <w:p>
      <w:pPr>
        <w:jc w:val="center"/>
      </w:pPr>
      <w:r>
        <mc:AlternateContent>
          <mc:Choice Requires="wpg">
            <w:drawing>
              <wp:inline xmlns:wp="http://schemas.openxmlformats.org/drawingml/2006/wordprocessingDrawing" distT="0" distB="0" distL="0" distR="0">
                <wp:extent cx="4965405" cy="2430780"/>
                <wp:effectExtent l="0" t="0" r="6985" b="7620"/>
                <wp:docPr id="34" name="Imagen 3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g8.png" hidden="0"/>
                        <pic:cNvPicPr>
                          <a:picLocks noChangeAspect="1"/>
                        </pic:cNvPicPr>
                      </pic:nvPicPr>
                      <pic:blipFill>
                        <a:blip r:embed="rId25"/>
                        <a:srcRect l="0" t="0" r="1058" b="0"/>
                        <a:stretch/>
                      </pic:blipFill>
                      <pic:spPr bwMode="auto">
                        <a:xfrm>
                          <a:off x="0" y="0"/>
                          <a:ext cx="4966690" cy="243140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91.0pt;height:191.4pt;">
                <v:path textboxrect="0,0,0,0"/>
                <v:imagedata r:id="rId25" o:title=""/>
              </v:shape>
            </w:pict>
          </mc:Fallback>
        </mc:AlternateContent>
      </w:r>
      <w:r/>
    </w:p>
    <w:p>
      <w:pPr>
        <w:pStyle w:val="478"/>
      </w:pPr>
      <w:r/>
      <w:bookmarkStart w:id="22" w:name="_Ref528866415"/>
      <w:r>
        <w:t xml:space="preserve">Figura </w:t>
      </w:r>
      <w:r>
        <w:fldChar w:fldCharType="begin"/>
      </w:r>
      <w:r>
        <w:instrText xml:space="preserve"> SEQ Figura \* ARABIC </w:instrText>
      </w:r>
      <w:r>
        <w:fldChar w:fldCharType="separate"/>
      </w:r>
      <w:r>
        <w:t xml:space="preserve">9</w:t>
      </w:r>
      <w:r>
        <w:fldChar w:fldCharType="end"/>
      </w:r>
      <w:bookmarkEnd w:id="22"/>
      <w:r>
        <w:t xml:space="preserve">. Estructura de la división de Medición de la Calidad (2502x) de </w:t>
      </w:r>
      <w:r>
        <w:t xml:space="preserve">SQuaRE</w:t>
      </w:r>
      <w:r>
        <w:t xml:space="preserve">.</w:t>
      </w:r>
      <w:r>
        <w:br/>
        <w:t xml:space="preserve">Fuente: Norma ISO/IEC 25020 </w:t>
      </w:r>
      <w:r>
        <w:t xml:space="preserve">(ISO, 2007)</w:t>
      </w:r>
      <w:r/>
    </w:p>
    <w:p>
      <w:r/>
      <w:r/>
    </w:p>
    <w:p>
      <w:r/>
      <w:r/>
    </w:p>
    <w:p>
      <w:pPr>
        <w:pStyle w:val="488"/>
      </w:pPr>
      <w:r/>
      <w:bookmarkStart w:id="23" w:name="_Toc535214628"/>
      <w:r>
        <w:t xml:space="preserve">10.8. ISO/IEC 25022, 25023 y 25024: </w:t>
      </w:r>
      <w:r>
        <w:t xml:space="preserve">m</w:t>
      </w:r>
      <w:r>
        <w:t xml:space="preserve">étricas de calidad del software y de los datos</w:t>
      </w:r>
      <w:bookmarkEnd w:id="23"/>
      <w:r/>
      <w:r/>
    </w:p>
    <w:p>
      <w:r/>
      <w:r/>
    </w:p>
    <w:p>
      <w:r>
        <w:t xml:space="preserve">En la norma ISO/IEC 25010 se señala que para cada una de las características se debe determinar la capacidad asociada definiendo el conjunto de </w:t>
      </w:r>
      <w:r>
        <w:t xml:space="preserve">propiedades y métricas asociadas. En el caso de la calidad en uso, la calidad interna y externa del producto, y la calidad de los datos, las normas ISO/IEC 25022, 25023 y 25024 proporcionan respectivamente un conjunto de métricas que pueden ser utilizadas.</w:t>
      </w:r>
      <w:r/>
    </w:p>
    <w:p>
      <w:r/>
      <w:r/>
    </w:p>
    <w:p>
      <w:pPr>
        <w:pStyle w:val="480"/>
        <w:numPr>
          <w:ilvl w:val="0"/>
          <w:numId w:val="38"/>
        </w:numPr>
      </w:pPr>
      <w:r>
        <w:rPr>
          <w:b/>
        </w:rPr>
        <w:t xml:space="preserve">Las medidas de calidad interna </w:t>
      </w:r>
      <w:r>
        <w:t xml:space="preserve">proporcionan una visión de caja blanca del sistema. Son apropiadas</w:t>
      </w:r>
      <w:r>
        <w:rPr>
          <w:b/>
        </w:rPr>
        <w:t xml:space="preserve"> durante las etapas de desarrollo del software </w:t>
      </w:r>
      <w:r>
        <w:t xml:space="preserve">(análisis de requisitos, análisis del diseño y del código fuente).</w:t>
      </w:r>
      <w:r/>
    </w:p>
    <w:p>
      <w:pPr>
        <w:pStyle w:val="480"/>
        <w:ind w:left="284"/>
      </w:pPr>
      <w:r/>
      <w:r/>
    </w:p>
    <w:p>
      <w:pPr>
        <w:pStyle w:val="480"/>
        <w:numPr>
          <w:ilvl w:val="0"/>
          <w:numId w:val="38"/>
        </w:numPr>
      </w:pPr>
      <w:r>
        <w:rPr>
          <w:b/>
        </w:rPr>
        <w:t xml:space="preserve">Las medidas </w:t>
      </w:r>
      <w:r>
        <w:rPr>
          <w:b/>
        </w:rPr>
        <w:t xml:space="preserve">de </w:t>
      </w:r>
      <w:r>
        <w:rPr>
          <w:b/>
        </w:rPr>
        <w:t xml:space="preserve">calidad externa </w:t>
      </w:r>
      <w:r>
        <w:t xml:space="preserve">ofrecen una visión de caja negra del producto cuando se ejecuta en un determinado entorno de hardware y sistema operativo. Son apropiadas durante las </w:t>
      </w:r>
      <w:r>
        <w:rPr>
          <w:b/>
        </w:rPr>
        <w:t xml:space="preserve">fases de pruebas y en alguna etapa de operación</w:t>
      </w:r>
      <w:r>
        <w:t xml:space="preserve">.</w:t>
      </w:r>
      <w:r/>
    </w:p>
    <w:p>
      <w:pPr>
        <w:pStyle w:val="480"/>
      </w:pPr>
      <w:r/>
      <w:r/>
    </w:p>
    <w:p>
      <w:pPr>
        <w:pStyle w:val="480"/>
        <w:ind w:left="284"/>
      </w:pPr>
      <w:r/>
      <w:r/>
    </w:p>
    <w:p>
      <w:pPr>
        <w:pStyle w:val="480"/>
        <w:numPr>
          <w:ilvl w:val="0"/>
          <w:numId w:val="38"/>
        </w:numPr>
      </w:pPr>
      <w:r>
        <w:rPr>
          <w:b/>
        </w:rPr>
        <w:t xml:space="preserve">Las medidas de calidad en uso</w:t>
      </w:r>
      <w:r>
        <w:t xml:space="preserve"> permiten comprobar en qué medida el sistema satisface las necesidades del usuario, y deben ser adquiridas </w:t>
      </w:r>
      <w:r>
        <w:rPr>
          <w:b/>
        </w:rPr>
        <w:t xml:space="preserve">cuando el sistema está en operación</w:t>
      </w:r>
      <w:r>
        <w:t xml:space="preserve">.</w:t>
      </w:r>
      <w:r/>
    </w:p>
    <w:p>
      <w:pPr>
        <w:pStyle w:val="480"/>
        <w:ind w:left="284"/>
      </w:pPr>
      <w:r/>
      <w:r/>
    </w:p>
    <w:p>
      <w:r>
        <w:t xml:space="preserve">Las métricas ofrecidas en estas normas pueden ser modificadas o sustituidas </w:t>
      </w:r>
      <w:r>
        <w:t xml:space="preserve">por</w:t>
      </w:r>
      <w:r>
        <w:t xml:space="preserve"> otras, siempre que se especifique la relación de la métrica con la propiedad que se quiere evaluar dentro del modelo de calidad definido en ISO/IEC 25010. En todo caso</w:t>
      </w:r>
      <w:r>
        <w:t xml:space="preserve">, </w:t>
      </w:r>
      <w:r>
        <w:rPr>
          <w:b/>
        </w:rPr>
        <w:t xml:space="preserve">estas métricas deben definirse y especificarse para cada proceso de evaluación concreto, siguiendo el modelo recogido en la </w:t>
      </w:r>
      <w:r>
        <w:rPr>
          <w:b/>
        </w:rPr>
        <w:t xml:space="preserve">t</w:t>
      </w:r>
      <w:r>
        <w:rPr>
          <w:b/>
        </w:rPr>
        <w:t xml:space="preserve">abla 5</w:t>
      </w:r>
      <w:r>
        <w:t xml:space="preserve">.</w:t>
      </w:r>
      <w:r/>
    </w:p>
    <w:p>
      <w:r/>
      <w:r/>
    </w:p>
    <w:tbl>
      <w:tblPr>
        <w:tblStyle w:val="498"/>
        <w:tblW w:w="0" w:type="auto"/>
        <w:tblLook w:val="04A0" w:firstRow="1" w:lastRow="0" w:firstColumn="1" w:lastColumn="0" w:noHBand="0" w:noVBand="1"/>
      </w:tblPr>
      <w:tblGrid>
        <w:gridCol w:w="1633"/>
        <w:gridCol w:w="6577"/>
      </w:tblGrid>
      <w:tr>
        <w:trPr/>
        <w:tc>
          <w:tcPr>
            <w:tcW w:w="1603" w:type="dxa"/>
            <w:vAlign w:val="center"/>
            <w:textDirection w:val="lrTb"/>
            <w:noWrap w:val="false"/>
          </w:tcPr>
          <w:p>
            <w:pPr>
              <w:jc w:val="left"/>
              <w:rPr>
                <w:b/>
                <w:color w:val="FFFFFF"/>
                <w:sz w:val="20"/>
                <w:szCs w:val="20"/>
              </w:rPr>
            </w:pPr>
            <w:r>
              <w:rPr>
                <w:b/>
                <w:color w:val="FFFFFF" w:themeColor="background1"/>
                <w:sz w:val="20"/>
                <w:szCs w:val="20"/>
              </w:rPr>
              <w:t xml:space="preserve">Campo</w:t>
            </w:r>
            <w:r/>
          </w:p>
        </w:tc>
        <w:tc>
          <w:tcPr>
            <w:tcW w:w="6607" w:type="dxa"/>
            <w:vAlign w:val="center"/>
            <w:textDirection w:val="lrTb"/>
            <w:noWrap w:val="false"/>
          </w:tcPr>
          <w:p>
            <w:pPr>
              <w:jc w:val="left"/>
              <w:rPr>
                <w:b/>
                <w:color w:val="FFFFFF"/>
                <w:sz w:val="20"/>
                <w:szCs w:val="20"/>
              </w:rPr>
            </w:pPr>
            <w:r>
              <w:rPr>
                <w:b/>
                <w:color w:val="FFFFFF" w:themeColor="background1"/>
                <w:sz w:val="20"/>
                <w:szCs w:val="20"/>
              </w:rPr>
              <w:t xml:space="preserve">Descripción</w:t>
            </w:r>
            <w:r/>
          </w:p>
        </w:tc>
      </w:tr>
      <w:tr>
        <w:trPr/>
        <w:tc>
          <w:tcPr>
            <w:tcW w:w="1603" w:type="dxa"/>
            <w:vAlign w:val="center"/>
            <w:textDirection w:val="lrTb"/>
            <w:noWrap w:val="false"/>
          </w:tcPr>
          <w:p>
            <w:pPr>
              <w:jc w:val="left"/>
              <w:rPr>
                <w:b/>
                <w:sz w:val="20"/>
                <w:szCs w:val="20"/>
              </w:rPr>
            </w:pPr>
            <w:r>
              <w:rPr>
                <w:b/>
                <w:sz w:val="20"/>
                <w:szCs w:val="20"/>
              </w:rPr>
              <w:t xml:space="preserve">Subcaracterística</w:t>
            </w:r>
            <w:r/>
          </w:p>
        </w:tc>
        <w:tc>
          <w:tcPr>
            <w:tcW w:w="6607" w:type="dxa"/>
            <w:vAlign w:val="center"/>
            <w:textDirection w:val="lrTb"/>
            <w:noWrap w:val="false"/>
          </w:tcPr>
          <w:p>
            <w:pPr>
              <w:jc w:val="left"/>
              <w:rPr>
                <w:sz w:val="20"/>
                <w:szCs w:val="20"/>
              </w:rPr>
            </w:pPr>
            <w:r>
              <w:rPr>
                <w:sz w:val="20"/>
                <w:szCs w:val="20"/>
              </w:rPr>
              <w:t xml:space="preserve">Subcaracterística</w:t>
            </w:r>
            <w:r>
              <w:rPr>
                <w:sz w:val="20"/>
                <w:szCs w:val="20"/>
              </w:rPr>
              <w:t xml:space="preserve"> de calidad asociada según el modelo ISO/IEC 25010.</w:t>
            </w:r>
            <w:r/>
          </w:p>
        </w:tc>
      </w:tr>
      <w:tr>
        <w:trPr/>
        <w:tc>
          <w:tcPr>
            <w:tcW w:w="1603" w:type="dxa"/>
            <w:vAlign w:val="center"/>
            <w:textDirection w:val="lrTb"/>
            <w:noWrap w:val="false"/>
          </w:tcPr>
          <w:p>
            <w:pPr>
              <w:jc w:val="left"/>
              <w:rPr>
                <w:b/>
                <w:sz w:val="20"/>
                <w:szCs w:val="20"/>
              </w:rPr>
            </w:pPr>
            <w:r>
              <w:rPr>
                <w:b/>
                <w:sz w:val="20"/>
                <w:szCs w:val="20"/>
              </w:rPr>
              <w:t xml:space="preserve">Nombre de la métrica</w:t>
            </w:r>
            <w:r/>
          </w:p>
        </w:tc>
        <w:tc>
          <w:tcPr>
            <w:tcW w:w="6607" w:type="dxa"/>
            <w:vAlign w:val="center"/>
            <w:textDirection w:val="lrTb"/>
            <w:noWrap w:val="false"/>
          </w:tcPr>
          <w:p>
            <w:pPr>
              <w:jc w:val="left"/>
              <w:rPr>
                <w:sz w:val="20"/>
                <w:szCs w:val="20"/>
              </w:rPr>
            </w:pPr>
            <w:r>
              <w:rPr>
                <w:sz w:val="20"/>
                <w:szCs w:val="20"/>
              </w:rPr>
              <w:t xml:space="preserve">Nombre asignado a la métrica de calidad.</w:t>
            </w:r>
            <w:r/>
          </w:p>
        </w:tc>
      </w:tr>
      <w:tr>
        <w:trPr/>
        <w:tc>
          <w:tcPr>
            <w:tcW w:w="1603" w:type="dxa"/>
            <w:vAlign w:val="center"/>
            <w:textDirection w:val="lrTb"/>
            <w:noWrap w:val="false"/>
          </w:tcPr>
          <w:p>
            <w:pPr>
              <w:jc w:val="left"/>
              <w:rPr>
                <w:b/>
                <w:sz w:val="20"/>
                <w:szCs w:val="20"/>
              </w:rPr>
            </w:pPr>
            <w:r>
              <w:rPr>
                <w:b/>
                <w:sz w:val="20"/>
                <w:szCs w:val="20"/>
              </w:rPr>
              <w:t xml:space="preserve">Fase de ciclo de vida de calidad</w:t>
            </w:r>
            <w:r/>
          </w:p>
        </w:tc>
        <w:tc>
          <w:tcPr>
            <w:tcW w:w="6607" w:type="dxa"/>
            <w:vAlign w:val="center"/>
            <w:textDirection w:val="lrTb"/>
            <w:noWrap w:val="false"/>
          </w:tcPr>
          <w:p>
            <w:pPr>
              <w:jc w:val="left"/>
              <w:rPr>
                <w:sz w:val="20"/>
                <w:szCs w:val="20"/>
              </w:rPr>
            </w:pPr>
            <w:r>
              <w:rPr>
                <w:sz w:val="20"/>
                <w:szCs w:val="20"/>
              </w:rPr>
              <w:t xml:space="preserve">Calidad interna, calidad externa o calidad en uso.</w:t>
            </w:r>
            <w:r/>
          </w:p>
        </w:tc>
      </w:tr>
      <w:tr>
        <w:trPr/>
        <w:tc>
          <w:tcPr>
            <w:tcW w:w="1603" w:type="dxa"/>
            <w:vAlign w:val="center"/>
            <w:textDirection w:val="lrTb"/>
            <w:noWrap w:val="false"/>
          </w:tcPr>
          <w:p>
            <w:pPr>
              <w:jc w:val="left"/>
              <w:rPr>
                <w:b/>
                <w:sz w:val="20"/>
                <w:szCs w:val="20"/>
              </w:rPr>
            </w:pPr>
            <w:r>
              <w:rPr>
                <w:b/>
                <w:sz w:val="20"/>
                <w:szCs w:val="20"/>
              </w:rPr>
              <w:t xml:space="preserve">Propósito de la métrica</w:t>
            </w:r>
            <w:r/>
          </w:p>
        </w:tc>
        <w:tc>
          <w:tcPr>
            <w:tcW w:w="6607" w:type="dxa"/>
            <w:vAlign w:val="center"/>
            <w:textDirection w:val="lrTb"/>
            <w:noWrap w:val="false"/>
          </w:tcPr>
          <w:p>
            <w:pPr>
              <w:jc w:val="left"/>
              <w:rPr>
                <w:sz w:val="20"/>
                <w:szCs w:val="20"/>
              </w:rPr>
            </w:pPr>
            <w:r>
              <w:rPr>
                <w:sz w:val="20"/>
                <w:szCs w:val="20"/>
              </w:rPr>
              <w:t xml:space="preserve">Motivo por el cual se ha seleccionado la métrica.</w:t>
            </w:r>
            <w:r/>
          </w:p>
        </w:tc>
      </w:tr>
      <w:tr>
        <w:trPr/>
        <w:tc>
          <w:tcPr>
            <w:tcW w:w="1603" w:type="dxa"/>
            <w:vAlign w:val="center"/>
            <w:textDirection w:val="lrTb"/>
            <w:noWrap w:val="false"/>
          </w:tcPr>
          <w:p>
            <w:pPr>
              <w:jc w:val="left"/>
              <w:rPr>
                <w:b/>
                <w:sz w:val="20"/>
                <w:szCs w:val="20"/>
              </w:rPr>
            </w:pPr>
            <w:r>
              <w:rPr>
                <w:b/>
                <w:sz w:val="20"/>
                <w:szCs w:val="20"/>
              </w:rPr>
              <w:t xml:space="preserve">Método de aplicación</w:t>
            </w:r>
            <w:r/>
          </w:p>
        </w:tc>
        <w:tc>
          <w:tcPr>
            <w:tcW w:w="6607" w:type="dxa"/>
            <w:vAlign w:val="center"/>
            <w:textDirection w:val="lrTb"/>
            <w:noWrap w:val="false"/>
          </w:tcPr>
          <w:p>
            <w:pPr>
              <w:jc w:val="left"/>
              <w:rPr>
                <w:sz w:val="20"/>
                <w:szCs w:val="20"/>
              </w:rPr>
            </w:pPr>
            <w:r>
              <w:rPr>
                <w:sz w:val="20"/>
                <w:szCs w:val="20"/>
              </w:rPr>
              <w:t xml:space="preserve">Manera en que se debe aplicar la métrica.</w:t>
            </w:r>
            <w:r/>
          </w:p>
        </w:tc>
      </w:tr>
      <w:tr>
        <w:trPr/>
        <w:tc>
          <w:tcPr>
            <w:tcW w:w="1603" w:type="dxa"/>
            <w:vAlign w:val="center"/>
            <w:textDirection w:val="lrTb"/>
            <w:noWrap w:val="false"/>
          </w:tcPr>
          <w:p>
            <w:pPr>
              <w:jc w:val="left"/>
              <w:rPr>
                <w:b/>
                <w:sz w:val="20"/>
                <w:szCs w:val="20"/>
              </w:rPr>
            </w:pPr>
            <w:r>
              <w:rPr>
                <w:b/>
                <w:sz w:val="20"/>
                <w:szCs w:val="20"/>
              </w:rPr>
              <w:t xml:space="preserve">Fórmula y cálculo de datos</w:t>
            </w:r>
            <w:r/>
          </w:p>
        </w:tc>
        <w:tc>
          <w:tcPr>
            <w:tcW w:w="6607" w:type="dxa"/>
            <w:vAlign w:val="center"/>
            <w:textDirection w:val="lrTb"/>
            <w:noWrap w:val="false"/>
          </w:tcPr>
          <w:p>
            <w:pPr>
              <w:jc w:val="left"/>
              <w:rPr>
                <w:sz w:val="20"/>
                <w:szCs w:val="20"/>
              </w:rPr>
            </w:pPr>
            <w:r>
              <w:rPr>
                <w:sz w:val="20"/>
                <w:szCs w:val="20"/>
              </w:rPr>
              <w:t xml:space="preserve">Establece los datos o parámetros a medir y su significado, y la fórmula de medición específica que los combina en un valor de medida.</w:t>
            </w:r>
            <w:r/>
          </w:p>
        </w:tc>
      </w:tr>
      <w:tr>
        <w:trPr/>
        <w:tc>
          <w:tcPr>
            <w:tcW w:w="1603" w:type="dxa"/>
            <w:vAlign w:val="center"/>
            <w:textDirection w:val="lrTb"/>
            <w:noWrap w:val="false"/>
          </w:tcPr>
          <w:p>
            <w:pPr>
              <w:jc w:val="left"/>
              <w:rPr>
                <w:b/>
                <w:sz w:val="20"/>
                <w:szCs w:val="20"/>
              </w:rPr>
            </w:pPr>
            <w:r>
              <w:rPr>
                <w:b/>
                <w:sz w:val="20"/>
                <w:szCs w:val="20"/>
              </w:rPr>
              <w:t xml:space="preserve">Valor esperado</w:t>
            </w:r>
            <w:r/>
          </w:p>
        </w:tc>
        <w:tc>
          <w:tcPr>
            <w:tcW w:w="6607" w:type="dxa"/>
            <w:vAlign w:val="center"/>
            <w:textDirection w:val="lrTb"/>
            <w:noWrap w:val="false"/>
          </w:tcPr>
          <w:p>
            <w:pPr>
              <w:jc w:val="left"/>
              <w:rPr>
                <w:sz w:val="20"/>
                <w:szCs w:val="20"/>
              </w:rPr>
            </w:pPr>
            <w:r>
              <w:rPr>
                <w:sz w:val="20"/>
                <w:szCs w:val="20"/>
              </w:rPr>
              <w:t xml:space="preserve">Proporciona un rango de valores preferibles y recomendados.</w:t>
            </w:r>
            <w:r/>
          </w:p>
        </w:tc>
      </w:tr>
      <w:tr>
        <w:trPr/>
        <w:tc>
          <w:tcPr>
            <w:tcW w:w="1603" w:type="dxa"/>
            <w:vAlign w:val="center"/>
            <w:textDirection w:val="lrTb"/>
            <w:noWrap w:val="false"/>
          </w:tcPr>
          <w:p>
            <w:pPr>
              <w:jc w:val="left"/>
              <w:rPr>
                <w:b/>
                <w:sz w:val="20"/>
                <w:szCs w:val="20"/>
              </w:rPr>
            </w:pPr>
            <w:r>
              <w:rPr>
                <w:b/>
                <w:sz w:val="20"/>
                <w:szCs w:val="20"/>
              </w:rPr>
              <w:t xml:space="preserve">Tipo de medida</w:t>
            </w:r>
            <w:r/>
          </w:p>
        </w:tc>
        <w:tc>
          <w:tcPr>
            <w:tcW w:w="6607" w:type="dxa"/>
            <w:vAlign w:val="center"/>
            <w:textDirection w:val="lrTb"/>
            <w:noWrap w:val="false"/>
          </w:tcPr>
          <w:p>
            <w:pPr>
              <w:jc w:val="left"/>
              <w:keepNext/>
              <w:rPr>
                <w:sz w:val="20"/>
                <w:szCs w:val="20"/>
              </w:rPr>
            </w:pPr>
            <w:r>
              <w:rPr>
                <w:sz w:val="20"/>
                <w:szCs w:val="20"/>
              </w:rPr>
              <w:t xml:space="preserve">Especifica el tipo de medida seleccionada: tamaño (de una función, de una clase), tiempo (intervalo de tiempo), contar (número de cambios, de fallos…).</w:t>
            </w:r>
            <w:r/>
          </w:p>
        </w:tc>
      </w:tr>
    </w:tbl>
    <w:p>
      <w:pPr>
        <w:pStyle w:val="478"/>
      </w:pPr>
      <w:r/>
      <w:bookmarkStart w:id="24" w:name="_Ref528866574"/>
      <w:r>
        <w:t xml:space="preserve">Tabla </w:t>
      </w:r>
      <w:r>
        <w:fldChar w:fldCharType="begin"/>
      </w:r>
      <w:r>
        <w:instrText xml:space="preserve"> SEQ Tabla \* ARABIC </w:instrText>
      </w:r>
      <w:r>
        <w:fldChar w:fldCharType="separate"/>
      </w:r>
      <w:r>
        <w:t xml:space="preserve">5</w:t>
      </w:r>
      <w:r>
        <w:fldChar w:fldCharType="end"/>
      </w:r>
      <w:bookmarkEnd w:id="24"/>
      <w:r>
        <w:t xml:space="preserve">. Campos necesarios para la definición de una métrica de calidad de producto software.</w:t>
      </w:r>
      <w:r>
        <w:br/>
        <w:t xml:space="preserve">Fuente: ISO/IEC 25020 </w:t>
      </w:r>
      <w:r>
        <w:t xml:space="preserve">(ISO, 2007)</w:t>
      </w:r>
      <w:r/>
    </w:p>
    <w:p>
      <w:r/>
      <w:r/>
    </w:p>
    <w:p>
      <w:pPr>
        <w:sectPr>
          <w:footnotePr/>
          <w:type w:val="continuous"/>
          <w:pgSz w:w="11906" w:h="16838" w:orient="portrait"/>
          <w:pgMar w:top="1418" w:right="1843" w:bottom="1418" w:left="1843" w:header="1134" w:footer="397"/>
          <w:cols w:num="1" w:sep="0" w:space="708" w:equalWidth="1"/>
          <w:docGrid w:linePitch="360"/>
        </w:sectPr>
      </w:pPr>
      <w:r/>
      <w:r/>
    </w:p>
    <w:p>
      <w:r>
        <w:t xml:space="preserve">A modo de ejemplo se recogen en las siguientes tablas algunas métricas de calidad interna</w:t>
      </w:r>
      <w:r>
        <w:t xml:space="preserve">,</w:t>
      </w:r>
      <w:r>
        <w:t xml:space="preserve"> externa y en uso.</w:t>
      </w:r>
      <w:r/>
    </w:p>
    <w:p>
      <w:r/>
      <w:r/>
    </w:p>
    <w:tbl>
      <w:tblPr>
        <w:tblStyle w:val="498"/>
        <w:tblW w:w="0" w:type="auto"/>
        <w:tblLook w:val="04A0" w:firstRow="1" w:lastRow="0" w:firstColumn="1" w:lastColumn="0" w:noHBand="0" w:noVBand="1"/>
      </w:tblPr>
      <w:tblGrid>
        <w:gridCol w:w="1633"/>
        <w:gridCol w:w="6577"/>
      </w:tblGrid>
      <w:tr>
        <w:trPr/>
        <w:tc>
          <w:tcPr>
            <w:tcW w:w="1603" w:type="dxa"/>
            <w:vAlign w:val="center"/>
            <w:textDirection w:val="lrTb"/>
            <w:noWrap w:val="false"/>
          </w:tcPr>
          <w:p>
            <w:pPr>
              <w:jc w:val="left"/>
              <w:rPr>
                <w:b/>
                <w:color w:val="FFFFFF"/>
                <w:sz w:val="20"/>
                <w:szCs w:val="20"/>
              </w:rPr>
            </w:pPr>
            <w:r>
              <w:rPr>
                <w:b/>
                <w:color w:val="FFFFFF" w:themeColor="background1"/>
                <w:sz w:val="20"/>
                <w:szCs w:val="20"/>
              </w:rPr>
              <w:t xml:space="preserve">Campo</w:t>
            </w:r>
            <w:r/>
          </w:p>
        </w:tc>
        <w:tc>
          <w:tcPr>
            <w:tcW w:w="6607" w:type="dxa"/>
            <w:vAlign w:val="center"/>
            <w:textDirection w:val="lrTb"/>
            <w:noWrap w:val="false"/>
          </w:tcPr>
          <w:p>
            <w:pPr>
              <w:jc w:val="left"/>
              <w:rPr>
                <w:b/>
                <w:color w:val="FFFFFF"/>
                <w:sz w:val="20"/>
                <w:szCs w:val="20"/>
              </w:rPr>
            </w:pPr>
            <w:r>
              <w:rPr>
                <w:b/>
                <w:color w:val="FFFFFF" w:themeColor="background1"/>
                <w:sz w:val="20"/>
                <w:szCs w:val="20"/>
              </w:rPr>
              <w:t xml:space="preserve">Descripción</w:t>
            </w:r>
            <w:r/>
          </w:p>
        </w:tc>
      </w:tr>
      <w:tr>
        <w:trPr/>
        <w:tc>
          <w:tcPr>
            <w:tcW w:w="1603" w:type="dxa"/>
            <w:vAlign w:val="center"/>
            <w:textDirection w:val="lrTb"/>
            <w:noWrap w:val="false"/>
          </w:tcPr>
          <w:p>
            <w:pPr>
              <w:jc w:val="left"/>
              <w:rPr>
                <w:b/>
                <w:sz w:val="20"/>
                <w:szCs w:val="20"/>
              </w:rPr>
            </w:pPr>
            <w:r>
              <w:rPr>
                <w:b/>
                <w:sz w:val="20"/>
                <w:szCs w:val="20"/>
              </w:rPr>
              <w:t xml:space="preserve">Subcaracterística</w:t>
            </w:r>
            <w:r/>
          </w:p>
        </w:tc>
        <w:tc>
          <w:tcPr>
            <w:tcW w:w="6607" w:type="dxa"/>
            <w:vAlign w:val="center"/>
            <w:textDirection w:val="lrTb"/>
            <w:noWrap w:val="false"/>
          </w:tcPr>
          <w:p>
            <w:pPr>
              <w:jc w:val="left"/>
              <w:rPr>
                <w:sz w:val="20"/>
                <w:szCs w:val="20"/>
              </w:rPr>
            </w:pPr>
            <w:r>
              <w:rPr>
                <w:sz w:val="20"/>
                <w:szCs w:val="20"/>
              </w:rPr>
              <w:t xml:space="preserve">Completitud funcional</w:t>
            </w:r>
            <w:r>
              <w:rPr>
                <w:sz w:val="20"/>
                <w:szCs w:val="20"/>
              </w:rPr>
              <w:t xml:space="preserve">.</w:t>
            </w:r>
            <w:r/>
          </w:p>
        </w:tc>
      </w:tr>
      <w:tr>
        <w:trPr/>
        <w:tc>
          <w:tcPr>
            <w:tcW w:w="1603" w:type="dxa"/>
            <w:vAlign w:val="center"/>
            <w:textDirection w:val="lrTb"/>
            <w:noWrap w:val="false"/>
          </w:tcPr>
          <w:p>
            <w:pPr>
              <w:jc w:val="left"/>
              <w:rPr>
                <w:b/>
                <w:sz w:val="20"/>
                <w:szCs w:val="20"/>
              </w:rPr>
            </w:pPr>
            <w:r>
              <w:rPr>
                <w:b/>
                <w:sz w:val="20"/>
                <w:szCs w:val="20"/>
              </w:rPr>
              <w:t xml:space="preserve">Nombre de la métrica</w:t>
            </w:r>
            <w:r/>
          </w:p>
        </w:tc>
        <w:tc>
          <w:tcPr>
            <w:tcW w:w="6607" w:type="dxa"/>
            <w:vAlign w:val="center"/>
            <w:textDirection w:val="lrTb"/>
            <w:noWrap w:val="false"/>
          </w:tcPr>
          <w:p>
            <w:pPr>
              <w:jc w:val="left"/>
              <w:rPr>
                <w:b/>
                <w:sz w:val="20"/>
                <w:szCs w:val="20"/>
              </w:rPr>
            </w:pPr>
            <w:r>
              <w:rPr>
                <w:b/>
                <w:sz w:val="20"/>
                <w:szCs w:val="20"/>
              </w:rPr>
              <w:t xml:space="preserve">Completitud de la implementación funcional</w:t>
            </w:r>
            <w:r>
              <w:rPr>
                <w:b/>
                <w:sz w:val="20"/>
                <w:szCs w:val="20"/>
              </w:rPr>
              <w:t xml:space="preserve">.</w:t>
            </w:r>
            <w:r/>
          </w:p>
        </w:tc>
      </w:tr>
      <w:tr>
        <w:trPr/>
        <w:tc>
          <w:tcPr>
            <w:tcW w:w="1603" w:type="dxa"/>
            <w:vAlign w:val="center"/>
            <w:textDirection w:val="lrTb"/>
            <w:noWrap w:val="false"/>
          </w:tcPr>
          <w:p>
            <w:pPr>
              <w:jc w:val="left"/>
              <w:rPr>
                <w:b/>
                <w:sz w:val="20"/>
                <w:szCs w:val="20"/>
              </w:rPr>
            </w:pPr>
            <w:r>
              <w:rPr>
                <w:b/>
                <w:sz w:val="20"/>
                <w:szCs w:val="20"/>
              </w:rPr>
              <w:t xml:space="preserve">Fase de ciclo de vida de calidad</w:t>
            </w:r>
            <w:r/>
          </w:p>
        </w:tc>
        <w:tc>
          <w:tcPr>
            <w:tcW w:w="6607" w:type="dxa"/>
            <w:vAlign w:val="center"/>
            <w:textDirection w:val="lrTb"/>
            <w:noWrap w:val="false"/>
          </w:tcPr>
          <w:p>
            <w:pPr>
              <w:jc w:val="left"/>
              <w:rPr>
                <w:sz w:val="20"/>
                <w:szCs w:val="20"/>
              </w:rPr>
            </w:pPr>
            <w:r>
              <w:rPr>
                <w:sz w:val="20"/>
                <w:szCs w:val="20"/>
              </w:rPr>
              <w:t xml:space="preserve">Interna/Externa.</w:t>
            </w:r>
            <w:r/>
          </w:p>
        </w:tc>
      </w:tr>
      <w:tr>
        <w:trPr/>
        <w:tc>
          <w:tcPr>
            <w:tcW w:w="1603" w:type="dxa"/>
            <w:vAlign w:val="center"/>
            <w:textDirection w:val="lrTb"/>
            <w:noWrap w:val="false"/>
          </w:tcPr>
          <w:p>
            <w:pPr>
              <w:jc w:val="left"/>
              <w:rPr>
                <w:b/>
                <w:sz w:val="20"/>
                <w:szCs w:val="20"/>
              </w:rPr>
            </w:pPr>
            <w:r>
              <w:rPr>
                <w:b/>
                <w:sz w:val="20"/>
                <w:szCs w:val="20"/>
              </w:rPr>
              <w:t xml:space="preserve">Propósito de la métrica</w:t>
            </w:r>
            <w:r/>
          </w:p>
        </w:tc>
        <w:tc>
          <w:tcPr>
            <w:tcW w:w="6607" w:type="dxa"/>
            <w:vAlign w:val="center"/>
            <w:textDirection w:val="lrTb"/>
            <w:noWrap w:val="false"/>
          </w:tcPr>
          <w:p>
            <w:pPr>
              <w:jc w:val="left"/>
              <w:rPr>
                <w:sz w:val="20"/>
                <w:szCs w:val="20"/>
              </w:rPr>
            </w:pPr>
            <w:r>
              <w:rPr>
                <w:sz w:val="20"/>
                <w:szCs w:val="20"/>
              </w:rPr>
              <w:t xml:space="preserve">Determinar</w:t>
            </w:r>
            <w:r>
              <w:rPr>
                <w:sz w:val="20"/>
                <w:szCs w:val="20"/>
              </w:rPr>
              <w:t xml:space="preserve"> lo </w:t>
            </w:r>
            <w:r>
              <w:rPr>
                <w:sz w:val="20"/>
                <w:szCs w:val="20"/>
              </w:rPr>
              <w:t xml:space="preserve">completa </w:t>
            </w:r>
            <w:r>
              <w:rPr>
                <w:sz w:val="20"/>
                <w:szCs w:val="20"/>
              </w:rPr>
              <w:t xml:space="preserve">que </w:t>
            </w:r>
            <w:r>
              <w:rPr>
                <w:sz w:val="20"/>
                <w:szCs w:val="20"/>
              </w:rPr>
              <w:t xml:space="preserve">es la implementación de acuerdo con la especificación de requisitos.</w:t>
            </w:r>
            <w:r/>
          </w:p>
        </w:tc>
      </w:tr>
      <w:tr>
        <w:trPr/>
        <w:tc>
          <w:tcPr>
            <w:tcW w:w="1603" w:type="dxa"/>
            <w:vAlign w:val="center"/>
            <w:textDirection w:val="lrTb"/>
            <w:noWrap w:val="false"/>
          </w:tcPr>
          <w:p>
            <w:pPr>
              <w:jc w:val="left"/>
              <w:rPr>
                <w:b/>
                <w:sz w:val="20"/>
                <w:szCs w:val="20"/>
              </w:rPr>
            </w:pPr>
            <w:r>
              <w:rPr>
                <w:b/>
                <w:sz w:val="20"/>
                <w:szCs w:val="20"/>
              </w:rPr>
              <w:t xml:space="preserve">Método de aplicación</w:t>
            </w:r>
            <w:r/>
          </w:p>
        </w:tc>
        <w:tc>
          <w:tcPr>
            <w:tcW w:w="6607" w:type="dxa"/>
            <w:vAlign w:val="center"/>
            <w:textDirection w:val="lrTb"/>
            <w:noWrap w:val="false"/>
          </w:tcPr>
          <w:p>
            <w:pPr>
              <w:jc w:val="left"/>
              <w:rPr>
                <w:sz w:val="20"/>
                <w:szCs w:val="20"/>
              </w:rPr>
            </w:pPr>
            <w:r>
              <w:rPr>
                <w:sz w:val="20"/>
                <w:szCs w:val="20"/>
              </w:rPr>
              <w:t xml:space="preserve">Contar el número de funciones indicada en la especificación de requisitos, y el número de funcionales que faltan o son incorrectas.</w:t>
            </w:r>
            <w:r/>
          </w:p>
        </w:tc>
      </w:tr>
      <w:tr>
        <w:trPr/>
        <w:tc>
          <w:tcPr>
            <w:tcW w:w="1603" w:type="dxa"/>
            <w:vAlign w:val="center"/>
            <w:textDirection w:val="lrTb"/>
            <w:noWrap w:val="false"/>
          </w:tcPr>
          <w:p>
            <w:pPr>
              <w:jc w:val="left"/>
              <w:rPr>
                <w:b/>
                <w:sz w:val="20"/>
                <w:szCs w:val="20"/>
              </w:rPr>
            </w:pPr>
            <w:r>
              <w:rPr>
                <w:b/>
                <w:sz w:val="20"/>
                <w:szCs w:val="20"/>
              </w:rPr>
              <w:t xml:space="preserve">Fórmula y cálculo de datos</w:t>
            </w:r>
            <w:r/>
          </w:p>
        </w:tc>
        <w:tc>
          <w:tcPr>
            <w:tcW w:w="6607" w:type="dxa"/>
            <w:vAlign w:val="center"/>
            <w:textDirection w:val="lrTb"/>
            <w:noWrap w:val="false"/>
          </w:tcPr>
          <w:p>
            <w:pPr>
              <w:jc w:val="left"/>
              <w:rPr>
                <w:sz w:val="20"/>
                <w:szCs w:val="20"/>
              </w:rPr>
            </w:pPr>
            <w:r>
              <w:rPr>
                <w:sz w:val="20"/>
                <w:szCs w:val="20"/>
              </w:rPr>
              <w:t xml:space="preserve">X = A/B, siendo:</w:t>
            </w:r>
            <w:r/>
          </w:p>
          <w:p>
            <w:pPr>
              <w:pStyle w:val="480"/>
              <w:numPr>
                <w:ilvl w:val="0"/>
                <w:numId w:val="32"/>
              </w:numPr>
              <w:jc w:val="left"/>
              <w:rPr>
                <w:sz w:val="20"/>
                <w:szCs w:val="20"/>
              </w:rPr>
            </w:pPr>
            <w:r>
              <w:rPr>
                <w:sz w:val="20"/>
                <w:szCs w:val="20"/>
              </w:rPr>
              <w:t xml:space="preserve">A el número de funciones incorrectas o no implementadas.</w:t>
            </w:r>
            <w:r/>
          </w:p>
          <w:p>
            <w:pPr>
              <w:pStyle w:val="480"/>
              <w:numPr>
                <w:ilvl w:val="0"/>
                <w:numId w:val="32"/>
              </w:numPr>
              <w:jc w:val="left"/>
              <w:rPr>
                <w:sz w:val="20"/>
                <w:szCs w:val="20"/>
              </w:rPr>
            </w:pPr>
            <w:r>
              <w:rPr>
                <w:sz w:val="20"/>
                <w:szCs w:val="20"/>
              </w:rPr>
              <w:t xml:space="preserve">B el número de funciones establecidas en la especificación de requisitos.</w:t>
            </w:r>
            <w:r/>
          </w:p>
        </w:tc>
      </w:tr>
      <w:tr>
        <w:trPr/>
        <w:tc>
          <w:tcPr>
            <w:tcW w:w="1603" w:type="dxa"/>
            <w:vAlign w:val="center"/>
            <w:textDirection w:val="lrTb"/>
            <w:noWrap w:val="false"/>
          </w:tcPr>
          <w:p>
            <w:pPr>
              <w:jc w:val="left"/>
              <w:rPr>
                <w:b/>
                <w:sz w:val="20"/>
                <w:szCs w:val="20"/>
              </w:rPr>
            </w:pPr>
            <w:r>
              <w:rPr>
                <w:b/>
                <w:sz w:val="20"/>
                <w:szCs w:val="20"/>
              </w:rPr>
              <w:t xml:space="preserve">Valor esperado</w:t>
            </w:r>
            <w:r/>
          </w:p>
        </w:tc>
        <w:tc>
          <w:tcPr>
            <w:tcW w:w="6607" w:type="dxa"/>
            <w:vAlign w:val="center"/>
            <w:textDirection w:val="lrTb"/>
            <w:noWrap w:val="false"/>
          </w:tcPr>
          <w:p>
            <w:pPr>
              <w:jc w:val="left"/>
              <w:rPr>
                <w:sz w:val="20"/>
                <w:szCs w:val="20"/>
              </w:rPr>
            </w:pPr>
            <w:r>
              <w:rPr>
                <w:sz w:val="20"/>
                <w:szCs w:val="20"/>
              </w:rPr>
              <w:t xml:space="preserve">0 </w:t>
            </w:r>
            <w:r>
              <w:rPr>
                <w:rFonts w:ascii="Symbol" w:hAnsi="Symbol" w:cs="Symbol" w:eastAsia="Symbol"/>
                <w:sz w:val="20"/>
                <w:szCs w:val="20"/>
              </w:rPr>
              <w:t xml:space="preserve">£</w:t>
            </w:r>
            <w:r>
              <w:rPr>
                <w:sz w:val="20"/>
                <w:szCs w:val="20"/>
              </w:rPr>
              <w:t xml:space="preserve"> X </w:t>
            </w:r>
            <w:r>
              <w:rPr>
                <w:rFonts w:ascii="Symbol" w:hAnsi="Symbol" w:cs="Symbol" w:eastAsia="Symbol"/>
                <w:sz w:val="20"/>
                <w:szCs w:val="20"/>
              </w:rPr>
              <w:t xml:space="preserve">£</w:t>
            </w:r>
            <w:r>
              <w:rPr>
                <w:sz w:val="20"/>
                <w:szCs w:val="20"/>
              </w:rPr>
              <w:t xml:space="preserve"> 1, siendo preferibles valores próximos a 0.</w:t>
            </w:r>
            <w:r/>
          </w:p>
        </w:tc>
      </w:tr>
      <w:tr>
        <w:trPr/>
        <w:tc>
          <w:tcPr>
            <w:tcW w:w="1603" w:type="dxa"/>
            <w:vAlign w:val="center"/>
            <w:textDirection w:val="lrTb"/>
            <w:noWrap w:val="false"/>
          </w:tcPr>
          <w:p>
            <w:pPr>
              <w:jc w:val="left"/>
              <w:rPr>
                <w:b/>
                <w:sz w:val="20"/>
                <w:szCs w:val="20"/>
              </w:rPr>
            </w:pPr>
            <w:r>
              <w:rPr>
                <w:b/>
                <w:sz w:val="20"/>
                <w:szCs w:val="20"/>
              </w:rPr>
              <w:t xml:space="preserve">Tipo de medida</w:t>
            </w:r>
            <w:r/>
          </w:p>
        </w:tc>
        <w:tc>
          <w:tcPr>
            <w:tcW w:w="6607" w:type="dxa"/>
            <w:vAlign w:val="center"/>
            <w:textDirection w:val="lrTb"/>
            <w:noWrap w:val="false"/>
          </w:tcPr>
          <w:p>
            <w:pPr>
              <w:pStyle w:val="480"/>
              <w:numPr>
                <w:ilvl w:val="0"/>
                <w:numId w:val="33"/>
              </w:numPr>
              <w:jc w:val="left"/>
              <w:keepNext/>
              <w:rPr>
                <w:sz w:val="20"/>
                <w:szCs w:val="20"/>
              </w:rPr>
            </w:pPr>
            <w:r>
              <w:rPr>
                <w:sz w:val="20"/>
                <w:szCs w:val="20"/>
              </w:rPr>
              <w:t xml:space="preserve">X de tipo contable/contable.</w:t>
            </w:r>
            <w:r/>
          </w:p>
          <w:p>
            <w:pPr>
              <w:pStyle w:val="480"/>
              <w:numPr>
                <w:ilvl w:val="0"/>
                <w:numId w:val="33"/>
              </w:numPr>
              <w:jc w:val="left"/>
              <w:keepNext/>
              <w:rPr>
                <w:sz w:val="20"/>
                <w:szCs w:val="20"/>
              </w:rPr>
            </w:pPr>
            <w:r>
              <w:rPr>
                <w:sz w:val="20"/>
                <w:szCs w:val="20"/>
              </w:rPr>
              <w:t xml:space="preserve">A y B de tipo contable.</w:t>
            </w:r>
            <w:r/>
          </w:p>
        </w:tc>
      </w:tr>
    </w:tbl>
    <w:p>
      <w:pPr>
        <w:pStyle w:val="478"/>
      </w:pPr>
      <w:r>
        <w:t xml:space="preserve">Tabla </w:t>
      </w:r>
      <w:r>
        <w:fldChar w:fldCharType="begin"/>
      </w:r>
      <w:r>
        <w:instrText xml:space="preserve"> SEQ Tabla \* ARABIC </w:instrText>
      </w:r>
      <w:r>
        <w:fldChar w:fldCharType="separate"/>
      </w:r>
      <w:r>
        <w:t xml:space="preserve">6</w:t>
      </w:r>
      <w:r>
        <w:fldChar w:fldCharType="end"/>
      </w:r>
      <w:r>
        <w:t xml:space="preserve">. Ejemplo de métrica relacionada con la característica de adecuación funcional: </w:t>
      </w:r>
      <w:r>
        <w:rPr>
          <w:b/>
        </w:rPr>
        <w:t xml:space="preserve">Completitud de la implementación funcional</w:t>
      </w:r>
      <w:r>
        <w:t xml:space="preserve">.</w:t>
      </w:r>
      <w:r>
        <w:t xml:space="preserve"> </w:t>
      </w:r>
      <w:r>
        <w:t xml:space="preserve">Fuente: Elaboración propia a partir de ISO/IEC 25023 </w:t>
      </w:r>
      <w:r>
        <w:t xml:space="preserve">(ISO, 2016b)</w:t>
      </w:r>
      <w:r/>
    </w:p>
    <w:p>
      <w:r/>
      <w:r/>
    </w:p>
    <w:tbl>
      <w:tblPr>
        <w:tblStyle w:val="498"/>
        <w:tblW w:w="0" w:type="auto"/>
        <w:tblLook w:val="04A0" w:firstRow="1" w:lastRow="0" w:firstColumn="1" w:lastColumn="0" w:noHBand="0" w:noVBand="1"/>
      </w:tblPr>
      <w:tblGrid>
        <w:gridCol w:w="1633"/>
        <w:gridCol w:w="6577"/>
      </w:tblGrid>
      <w:tr>
        <w:trPr/>
        <w:tc>
          <w:tcPr>
            <w:tcW w:w="1603" w:type="dxa"/>
            <w:vAlign w:val="center"/>
            <w:textDirection w:val="lrTb"/>
            <w:noWrap w:val="false"/>
          </w:tcPr>
          <w:p>
            <w:pPr>
              <w:jc w:val="left"/>
              <w:rPr>
                <w:b/>
                <w:color w:val="FFFFFF"/>
                <w:sz w:val="20"/>
                <w:szCs w:val="20"/>
              </w:rPr>
            </w:pPr>
            <w:r>
              <w:rPr>
                <w:b/>
                <w:color w:val="FFFFFF" w:themeColor="background1"/>
                <w:sz w:val="20"/>
                <w:szCs w:val="20"/>
              </w:rPr>
              <w:t xml:space="preserve">Campo</w:t>
            </w:r>
            <w:r/>
          </w:p>
        </w:tc>
        <w:tc>
          <w:tcPr>
            <w:tcW w:w="6607" w:type="dxa"/>
            <w:vAlign w:val="center"/>
            <w:textDirection w:val="lrTb"/>
            <w:noWrap w:val="false"/>
          </w:tcPr>
          <w:p>
            <w:pPr>
              <w:jc w:val="left"/>
              <w:rPr>
                <w:b/>
                <w:color w:val="FFFFFF"/>
                <w:sz w:val="20"/>
                <w:szCs w:val="20"/>
              </w:rPr>
            </w:pPr>
            <w:r>
              <w:rPr>
                <w:b/>
                <w:color w:val="FFFFFF" w:themeColor="background1"/>
                <w:sz w:val="20"/>
                <w:szCs w:val="20"/>
              </w:rPr>
              <w:t xml:space="preserve">Descripción</w:t>
            </w:r>
            <w:r/>
          </w:p>
        </w:tc>
      </w:tr>
      <w:tr>
        <w:trPr/>
        <w:tc>
          <w:tcPr>
            <w:tcW w:w="1603" w:type="dxa"/>
            <w:vAlign w:val="center"/>
            <w:textDirection w:val="lrTb"/>
            <w:noWrap w:val="false"/>
          </w:tcPr>
          <w:p>
            <w:pPr>
              <w:jc w:val="left"/>
              <w:rPr>
                <w:b/>
                <w:sz w:val="20"/>
                <w:szCs w:val="20"/>
              </w:rPr>
            </w:pPr>
            <w:r>
              <w:rPr>
                <w:b/>
                <w:sz w:val="20"/>
                <w:szCs w:val="20"/>
              </w:rPr>
              <w:t xml:space="preserve">Subcaracterística</w:t>
            </w:r>
            <w:r/>
          </w:p>
        </w:tc>
        <w:tc>
          <w:tcPr>
            <w:tcW w:w="6607" w:type="dxa"/>
            <w:vAlign w:val="center"/>
            <w:textDirection w:val="lrTb"/>
            <w:noWrap w:val="false"/>
          </w:tcPr>
          <w:p>
            <w:pPr>
              <w:jc w:val="left"/>
              <w:rPr>
                <w:sz w:val="20"/>
                <w:szCs w:val="20"/>
              </w:rPr>
            </w:pPr>
            <w:r>
              <w:rPr>
                <w:sz w:val="20"/>
                <w:szCs w:val="20"/>
              </w:rPr>
              <w:t xml:space="preserve">Corrección funcional.</w:t>
            </w:r>
            <w:r/>
          </w:p>
        </w:tc>
      </w:tr>
      <w:tr>
        <w:trPr/>
        <w:tc>
          <w:tcPr>
            <w:tcW w:w="1603" w:type="dxa"/>
            <w:vAlign w:val="center"/>
            <w:textDirection w:val="lrTb"/>
            <w:noWrap w:val="false"/>
          </w:tcPr>
          <w:p>
            <w:pPr>
              <w:jc w:val="left"/>
              <w:rPr>
                <w:b/>
                <w:sz w:val="20"/>
                <w:szCs w:val="20"/>
              </w:rPr>
            </w:pPr>
            <w:r>
              <w:rPr>
                <w:b/>
                <w:sz w:val="20"/>
                <w:szCs w:val="20"/>
              </w:rPr>
              <w:t xml:space="preserve">Nombre de la métrica</w:t>
            </w:r>
            <w:r/>
          </w:p>
        </w:tc>
        <w:tc>
          <w:tcPr>
            <w:tcW w:w="6607" w:type="dxa"/>
            <w:vAlign w:val="center"/>
            <w:textDirection w:val="lrTb"/>
            <w:noWrap w:val="false"/>
          </w:tcPr>
          <w:p>
            <w:pPr>
              <w:jc w:val="left"/>
              <w:rPr>
                <w:sz w:val="20"/>
                <w:szCs w:val="20"/>
              </w:rPr>
            </w:pPr>
            <w:r>
              <w:rPr>
                <w:b/>
                <w:sz w:val="20"/>
                <w:szCs w:val="20"/>
              </w:rPr>
              <w:t xml:space="preserve">Precisión computacional</w:t>
            </w:r>
            <w:r>
              <w:rPr>
                <w:sz w:val="20"/>
                <w:szCs w:val="20"/>
              </w:rPr>
              <w:t xml:space="preserve">.</w:t>
            </w:r>
            <w:r/>
          </w:p>
        </w:tc>
      </w:tr>
      <w:tr>
        <w:trPr/>
        <w:tc>
          <w:tcPr>
            <w:tcW w:w="1603" w:type="dxa"/>
            <w:vAlign w:val="center"/>
            <w:textDirection w:val="lrTb"/>
            <w:noWrap w:val="false"/>
          </w:tcPr>
          <w:p>
            <w:pPr>
              <w:jc w:val="left"/>
              <w:rPr>
                <w:b/>
                <w:sz w:val="20"/>
                <w:szCs w:val="20"/>
              </w:rPr>
            </w:pPr>
            <w:r>
              <w:rPr>
                <w:b/>
                <w:sz w:val="20"/>
                <w:szCs w:val="20"/>
              </w:rPr>
              <w:t xml:space="preserve">Fase de ciclo de vida de calidad</w:t>
            </w:r>
            <w:r/>
          </w:p>
        </w:tc>
        <w:tc>
          <w:tcPr>
            <w:tcW w:w="6607" w:type="dxa"/>
            <w:vAlign w:val="center"/>
            <w:textDirection w:val="lrTb"/>
            <w:noWrap w:val="false"/>
          </w:tcPr>
          <w:p>
            <w:pPr>
              <w:jc w:val="left"/>
              <w:rPr>
                <w:sz w:val="20"/>
                <w:szCs w:val="20"/>
              </w:rPr>
            </w:pPr>
            <w:r>
              <w:rPr>
                <w:sz w:val="20"/>
                <w:szCs w:val="20"/>
              </w:rPr>
              <w:t xml:space="preserve">Interna/Externa.</w:t>
            </w:r>
            <w:r/>
          </w:p>
        </w:tc>
      </w:tr>
      <w:tr>
        <w:trPr/>
        <w:tc>
          <w:tcPr>
            <w:tcW w:w="1603" w:type="dxa"/>
            <w:vAlign w:val="center"/>
            <w:textDirection w:val="lrTb"/>
            <w:noWrap w:val="false"/>
          </w:tcPr>
          <w:p>
            <w:pPr>
              <w:jc w:val="left"/>
              <w:rPr>
                <w:b/>
                <w:sz w:val="20"/>
                <w:szCs w:val="20"/>
              </w:rPr>
            </w:pPr>
            <w:r>
              <w:rPr>
                <w:b/>
                <w:sz w:val="20"/>
                <w:szCs w:val="20"/>
              </w:rPr>
              <w:t xml:space="preserve">Propósito de la métrica</w:t>
            </w:r>
            <w:r/>
          </w:p>
        </w:tc>
        <w:tc>
          <w:tcPr>
            <w:tcW w:w="6607" w:type="dxa"/>
            <w:vAlign w:val="center"/>
            <w:textDirection w:val="lrTb"/>
            <w:noWrap w:val="false"/>
          </w:tcPr>
          <w:p>
            <w:pPr>
              <w:jc w:val="left"/>
              <w:rPr>
                <w:sz w:val="20"/>
                <w:szCs w:val="20"/>
              </w:rPr>
            </w:pPr>
            <w:r>
              <w:rPr>
                <w:sz w:val="20"/>
                <w:szCs w:val="20"/>
              </w:rPr>
              <w:t xml:space="preserve">Determinar con qué frecuencia se producen resultados inexactos.</w:t>
            </w:r>
            <w:r/>
          </w:p>
        </w:tc>
      </w:tr>
      <w:tr>
        <w:trPr/>
        <w:tc>
          <w:tcPr>
            <w:tcW w:w="1603" w:type="dxa"/>
            <w:vAlign w:val="center"/>
            <w:textDirection w:val="lrTb"/>
            <w:noWrap w:val="false"/>
          </w:tcPr>
          <w:p>
            <w:pPr>
              <w:jc w:val="left"/>
              <w:rPr>
                <w:b/>
                <w:sz w:val="20"/>
                <w:szCs w:val="20"/>
              </w:rPr>
            </w:pPr>
            <w:r>
              <w:rPr>
                <w:b/>
                <w:sz w:val="20"/>
                <w:szCs w:val="20"/>
              </w:rPr>
              <w:t xml:space="preserve">Método de aplicación</w:t>
            </w:r>
            <w:r/>
          </w:p>
        </w:tc>
        <w:tc>
          <w:tcPr>
            <w:tcW w:w="6607" w:type="dxa"/>
            <w:vAlign w:val="center"/>
            <w:textDirection w:val="lrTb"/>
            <w:noWrap w:val="false"/>
          </w:tcPr>
          <w:p>
            <w:pPr>
              <w:jc w:val="left"/>
              <w:rPr>
                <w:sz w:val="20"/>
                <w:szCs w:val="20"/>
              </w:rPr>
            </w:pPr>
            <w:r>
              <w:rPr>
                <w:sz w:val="20"/>
                <w:szCs w:val="20"/>
              </w:rPr>
              <w:t xml:space="preserve">Contar el número de resultados inexactos y el tiempo de operación asociado.</w:t>
            </w:r>
            <w:r/>
          </w:p>
        </w:tc>
      </w:tr>
      <w:tr>
        <w:trPr/>
        <w:tc>
          <w:tcPr>
            <w:tcW w:w="1603" w:type="dxa"/>
            <w:vAlign w:val="center"/>
            <w:textDirection w:val="lrTb"/>
            <w:noWrap w:val="false"/>
          </w:tcPr>
          <w:p>
            <w:pPr>
              <w:jc w:val="left"/>
              <w:rPr>
                <w:b/>
                <w:sz w:val="20"/>
                <w:szCs w:val="20"/>
              </w:rPr>
            </w:pPr>
            <w:r>
              <w:rPr>
                <w:b/>
                <w:sz w:val="20"/>
                <w:szCs w:val="20"/>
              </w:rPr>
              <w:t xml:space="preserve">Fórmula y cálculo de datos</w:t>
            </w:r>
            <w:r/>
          </w:p>
        </w:tc>
        <w:tc>
          <w:tcPr>
            <w:tcW w:w="6607" w:type="dxa"/>
            <w:vAlign w:val="center"/>
            <w:textDirection w:val="lrTb"/>
            <w:noWrap w:val="false"/>
          </w:tcPr>
          <w:p>
            <w:pPr>
              <w:jc w:val="left"/>
              <w:rPr>
                <w:sz w:val="20"/>
                <w:szCs w:val="20"/>
              </w:rPr>
            </w:pPr>
            <w:r>
              <w:rPr>
                <w:rFonts w:ascii="Cambria Math" w:hAnsi="Cambria Math"/>
                <w:i/>
                <w:sz w:val="20"/>
                <w:szCs w:val="20"/>
              </w:rPr>
              <w:t xml:space="preserve">X = A/T</w:t>
            </w:r>
            <w:r>
              <w:rPr>
                <w:sz w:val="20"/>
                <w:szCs w:val="20"/>
              </w:rPr>
              <w:t xml:space="preserve">, siendo:</w:t>
            </w:r>
            <w:r/>
          </w:p>
          <w:p>
            <w:pPr>
              <w:pStyle w:val="480"/>
              <w:numPr>
                <w:ilvl w:val="0"/>
                <w:numId w:val="32"/>
              </w:numPr>
              <w:jc w:val="left"/>
              <w:rPr>
                <w:sz w:val="20"/>
                <w:szCs w:val="20"/>
              </w:rPr>
            </w:pPr>
            <w:r>
              <w:rPr>
                <w:rFonts w:ascii="Cambria Math" w:hAnsi="Cambria Math"/>
                <w:i/>
                <w:sz w:val="20"/>
                <w:szCs w:val="20"/>
              </w:rPr>
              <w:t xml:space="preserve">A </w:t>
            </w:r>
            <w:r>
              <w:rPr>
                <w:sz w:val="20"/>
                <w:szCs w:val="20"/>
              </w:rPr>
              <w:t xml:space="preserve">el número de cálculos inexactos encontrados.</w:t>
            </w:r>
            <w:r/>
          </w:p>
          <w:p>
            <w:pPr>
              <w:pStyle w:val="480"/>
              <w:numPr>
                <w:ilvl w:val="0"/>
                <w:numId w:val="32"/>
              </w:numPr>
              <w:jc w:val="left"/>
              <w:rPr>
                <w:sz w:val="20"/>
                <w:szCs w:val="20"/>
              </w:rPr>
            </w:pPr>
            <w:r>
              <w:rPr>
                <w:rFonts w:ascii="Cambria Math" w:hAnsi="Cambria Math"/>
                <w:i/>
                <w:sz w:val="20"/>
                <w:szCs w:val="20"/>
              </w:rPr>
              <w:t xml:space="preserve">T </w:t>
            </w:r>
            <w:r>
              <w:rPr>
                <w:sz w:val="20"/>
                <w:szCs w:val="20"/>
              </w:rPr>
              <w:t xml:space="preserve">e</w:t>
            </w:r>
            <w:r>
              <w:rPr>
                <w:sz w:val="20"/>
                <w:szCs w:val="20"/>
              </w:rPr>
              <w:t xml:space="preserve">l tiempo de operación.</w:t>
            </w:r>
            <w:r/>
          </w:p>
        </w:tc>
      </w:tr>
      <w:tr>
        <w:trPr/>
        <w:tc>
          <w:tcPr>
            <w:tcW w:w="1603" w:type="dxa"/>
            <w:vAlign w:val="center"/>
            <w:textDirection w:val="lrTb"/>
            <w:noWrap w:val="false"/>
          </w:tcPr>
          <w:p>
            <w:pPr>
              <w:jc w:val="left"/>
              <w:rPr>
                <w:b/>
                <w:sz w:val="20"/>
                <w:szCs w:val="20"/>
              </w:rPr>
            </w:pPr>
            <w:r>
              <w:rPr>
                <w:b/>
                <w:sz w:val="20"/>
                <w:szCs w:val="20"/>
              </w:rPr>
              <w:t xml:space="preserve">Valor esperado</w:t>
            </w:r>
            <w:r/>
          </w:p>
        </w:tc>
        <w:tc>
          <w:tcPr>
            <w:tcW w:w="6607" w:type="dxa"/>
            <w:vAlign w:val="center"/>
            <w:textDirection w:val="lrTb"/>
            <w:noWrap w:val="false"/>
          </w:tcPr>
          <w:p>
            <w:pPr>
              <w:jc w:val="left"/>
              <w:rPr>
                <w:sz w:val="20"/>
                <w:szCs w:val="20"/>
              </w:rPr>
            </w:pPr>
            <w:r>
              <w:rPr>
                <w:sz w:val="20"/>
                <w:szCs w:val="20"/>
              </w:rPr>
              <w:t xml:space="preserve">El más cercano a 0 es el preferible.</w:t>
            </w:r>
            <w:r/>
          </w:p>
        </w:tc>
      </w:tr>
      <w:tr>
        <w:trPr/>
        <w:tc>
          <w:tcPr>
            <w:tcW w:w="1603" w:type="dxa"/>
            <w:vAlign w:val="center"/>
            <w:textDirection w:val="lrTb"/>
            <w:noWrap w:val="false"/>
          </w:tcPr>
          <w:p>
            <w:pPr>
              <w:jc w:val="left"/>
              <w:rPr>
                <w:b/>
                <w:sz w:val="20"/>
                <w:szCs w:val="20"/>
              </w:rPr>
            </w:pPr>
            <w:r>
              <w:rPr>
                <w:b/>
                <w:sz w:val="20"/>
                <w:szCs w:val="20"/>
              </w:rPr>
              <w:t xml:space="preserve">Tipo de medida</w:t>
            </w:r>
            <w:r/>
          </w:p>
        </w:tc>
        <w:tc>
          <w:tcPr>
            <w:tcW w:w="6607" w:type="dxa"/>
            <w:vAlign w:val="center"/>
            <w:textDirection w:val="lrTb"/>
            <w:noWrap w:val="false"/>
          </w:tcPr>
          <w:p>
            <w:pPr>
              <w:pStyle w:val="480"/>
              <w:numPr>
                <w:ilvl w:val="0"/>
                <w:numId w:val="33"/>
              </w:numPr>
              <w:jc w:val="left"/>
              <w:keepNext/>
              <w:rPr>
                <w:sz w:val="20"/>
                <w:szCs w:val="20"/>
              </w:rPr>
            </w:pPr>
            <w:r>
              <w:rPr>
                <w:rFonts w:ascii="Cambria Math" w:hAnsi="Cambria Math"/>
                <w:i/>
                <w:sz w:val="20"/>
                <w:szCs w:val="20"/>
              </w:rPr>
              <w:t xml:space="preserve">X </w:t>
            </w:r>
            <w:r>
              <w:rPr>
                <w:sz w:val="20"/>
                <w:szCs w:val="20"/>
              </w:rPr>
              <w:t xml:space="preserve">de tipo contable/tiempo.</w:t>
            </w:r>
            <w:r/>
          </w:p>
          <w:p>
            <w:pPr>
              <w:pStyle w:val="480"/>
              <w:numPr>
                <w:ilvl w:val="0"/>
                <w:numId w:val="33"/>
              </w:numPr>
              <w:jc w:val="left"/>
              <w:keepNext/>
              <w:rPr>
                <w:sz w:val="20"/>
                <w:szCs w:val="20"/>
              </w:rPr>
            </w:pPr>
            <w:r>
              <w:rPr>
                <w:rFonts w:ascii="Cambria Math" w:hAnsi="Cambria Math"/>
                <w:i/>
                <w:sz w:val="20"/>
                <w:szCs w:val="20"/>
              </w:rPr>
              <w:t xml:space="preserve">A </w:t>
            </w:r>
            <w:r>
              <w:rPr>
                <w:sz w:val="20"/>
                <w:szCs w:val="20"/>
              </w:rPr>
              <w:t xml:space="preserve">de tipo contable.</w:t>
            </w:r>
            <w:r/>
          </w:p>
          <w:p>
            <w:pPr>
              <w:pStyle w:val="480"/>
              <w:numPr>
                <w:ilvl w:val="0"/>
                <w:numId w:val="33"/>
              </w:numPr>
              <w:jc w:val="left"/>
              <w:keepNext/>
              <w:rPr>
                <w:sz w:val="20"/>
                <w:szCs w:val="20"/>
              </w:rPr>
            </w:pPr>
            <w:r>
              <w:rPr>
                <w:rFonts w:ascii="Cambria Math" w:hAnsi="Cambria Math"/>
                <w:i/>
                <w:sz w:val="20"/>
                <w:szCs w:val="20"/>
              </w:rPr>
              <w:t xml:space="preserve">T </w:t>
            </w:r>
            <w:r>
              <w:rPr>
                <w:sz w:val="20"/>
                <w:szCs w:val="20"/>
              </w:rPr>
              <w:t xml:space="preserve">d</w:t>
            </w:r>
            <w:r>
              <w:rPr>
                <w:sz w:val="20"/>
                <w:szCs w:val="20"/>
              </w:rPr>
              <w:t xml:space="preserve">e tipo tiempo.</w:t>
            </w:r>
            <w:r/>
          </w:p>
        </w:tc>
      </w:tr>
    </w:tbl>
    <w:p>
      <w:pPr>
        <w:pStyle w:val="478"/>
      </w:pPr>
      <w:r>
        <w:t xml:space="preserve">Tabla </w:t>
      </w:r>
      <w:r>
        <w:fldChar w:fldCharType="begin"/>
      </w:r>
      <w:r>
        <w:instrText xml:space="preserve"> SEQ Tabla \* ARABIC </w:instrText>
      </w:r>
      <w:r>
        <w:fldChar w:fldCharType="separate"/>
      </w:r>
      <w:r>
        <w:t xml:space="preserve">7</w:t>
      </w:r>
      <w:r>
        <w:fldChar w:fldCharType="end"/>
      </w:r>
      <w:r>
        <w:t xml:space="preserve">. </w:t>
      </w:r>
      <w:r>
        <w:t xml:space="preserve">Ejemplo de métrica relacionada con la característica de adecuación funcional: </w:t>
      </w:r>
      <w:r>
        <w:rPr>
          <w:b/>
        </w:rPr>
        <w:t xml:space="preserve">Precisión computacional</w:t>
      </w:r>
      <w:r>
        <w:t xml:space="preserve">. Fuente: Elaboración propia a partir de ISO/IEC 25023</w:t>
      </w:r>
      <w:r>
        <w:t xml:space="preserve">(ISO, 2016b)</w:t>
      </w:r>
      <w:r/>
    </w:p>
    <w:p>
      <w:r/>
      <w:r/>
    </w:p>
    <w:tbl>
      <w:tblPr>
        <w:tblStyle w:val="498"/>
        <w:tblW w:w="0" w:type="auto"/>
        <w:tblLook w:val="04A0" w:firstRow="1" w:lastRow="0" w:firstColumn="1" w:lastColumn="0" w:noHBand="0" w:noVBand="1"/>
      </w:tblPr>
      <w:tblGrid>
        <w:gridCol w:w="1633"/>
        <w:gridCol w:w="6577"/>
      </w:tblGrid>
      <w:tr>
        <w:trPr/>
        <w:tc>
          <w:tcPr>
            <w:tcW w:w="1603" w:type="dxa"/>
            <w:vAlign w:val="center"/>
            <w:textDirection w:val="lrTb"/>
            <w:noWrap w:val="false"/>
          </w:tcPr>
          <w:p>
            <w:pPr>
              <w:jc w:val="left"/>
              <w:rPr>
                <w:b/>
                <w:color w:val="FFFFFF"/>
                <w:sz w:val="20"/>
                <w:szCs w:val="20"/>
              </w:rPr>
            </w:pPr>
            <w:r>
              <w:rPr>
                <w:b/>
                <w:color w:val="FFFFFF" w:themeColor="background1"/>
                <w:sz w:val="20"/>
                <w:szCs w:val="20"/>
              </w:rPr>
              <w:t xml:space="preserve">Campo</w:t>
            </w:r>
            <w:r/>
          </w:p>
        </w:tc>
        <w:tc>
          <w:tcPr>
            <w:tcW w:w="6607" w:type="dxa"/>
            <w:vAlign w:val="center"/>
            <w:textDirection w:val="lrTb"/>
            <w:noWrap w:val="false"/>
          </w:tcPr>
          <w:p>
            <w:pPr>
              <w:jc w:val="left"/>
              <w:rPr>
                <w:b/>
                <w:color w:val="FFFFFF"/>
                <w:sz w:val="20"/>
                <w:szCs w:val="20"/>
              </w:rPr>
            </w:pPr>
            <w:r>
              <w:rPr>
                <w:b/>
                <w:color w:val="FFFFFF" w:themeColor="background1"/>
                <w:sz w:val="20"/>
                <w:szCs w:val="20"/>
              </w:rPr>
              <w:t xml:space="preserve">Descripción</w:t>
            </w:r>
            <w:r/>
          </w:p>
        </w:tc>
      </w:tr>
      <w:tr>
        <w:trPr/>
        <w:tc>
          <w:tcPr>
            <w:tcW w:w="1603" w:type="dxa"/>
            <w:vAlign w:val="center"/>
            <w:textDirection w:val="lrTb"/>
            <w:noWrap w:val="false"/>
          </w:tcPr>
          <w:p>
            <w:pPr>
              <w:jc w:val="left"/>
              <w:rPr>
                <w:b/>
                <w:sz w:val="20"/>
                <w:szCs w:val="20"/>
              </w:rPr>
            </w:pPr>
            <w:r>
              <w:rPr>
                <w:b/>
                <w:sz w:val="20"/>
                <w:szCs w:val="20"/>
              </w:rPr>
              <w:t xml:space="preserve">Subcaracterística</w:t>
            </w:r>
            <w:r/>
          </w:p>
        </w:tc>
        <w:tc>
          <w:tcPr>
            <w:tcW w:w="6607" w:type="dxa"/>
            <w:vAlign w:val="center"/>
            <w:textDirection w:val="lrTb"/>
            <w:noWrap w:val="false"/>
          </w:tcPr>
          <w:p>
            <w:pPr>
              <w:jc w:val="left"/>
              <w:rPr>
                <w:sz w:val="20"/>
                <w:szCs w:val="20"/>
              </w:rPr>
            </w:pPr>
            <w:r>
              <w:rPr>
                <w:sz w:val="20"/>
                <w:szCs w:val="20"/>
              </w:rPr>
              <w:t xml:space="preserve">Efectividad.</w:t>
            </w:r>
            <w:r/>
          </w:p>
        </w:tc>
      </w:tr>
      <w:tr>
        <w:trPr/>
        <w:tc>
          <w:tcPr>
            <w:tcW w:w="1603" w:type="dxa"/>
            <w:vAlign w:val="center"/>
            <w:textDirection w:val="lrTb"/>
            <w:noWrap w:val="false"/>
          </w:tcPr>
          <w:p>
            <w:pPr>
              <w:jc w:val="left"/>
              <w:rPr>
                <w:b/>
                <w:sz w:val="20"/>
                <w:szCs w:val="20"/>
              </w:rPr>
            </w:pPr>
            <w:r>
              <w:rPr>
                <w:b/>
                <w:sz w:val="20"/>
                <w:szCs w:val="20"/>
              </w:rPr>
              <w:t xml:space="preserve">Nombre de la métrica</w:t>
            </w:r>
            <w:r/>
          </w:p>
        </w:tc>
        <w:tc>
          <w:tcPr>
            <w:tcW w:w="6607" w:type="dxa"/>
            <w:vAlign w:val="center"/>
            <w:textDirection w:val="lrTb"/>
            <w:noWrap w:val="false"/>
          </w:tcPr>
          <w:p>
            <w:pPr>
              <w:jc w:val="left"/>
              <w:rPr>
                <w:sz w:val="20"/>
                <w:szCs w:val="20"/>
              </w:rPr>
            </w:pPr>
            <w:r>
              <w:rPr>
                <w:b/>
                <w:sz w:val="20"/>
                <w:szCs w:val="20"/>
              </w:rPr>
              <w:t xml:space="preserve">Completitud de la tarea</w:t>
            </w:r>
            <w:r>
              <w:rPr>
                <w:sz w:val="20"/>
                <w:szCs w:val="20"/>
              </w:rPr>
              <w:t xml:space="preserve">.</w:t>
            </w:r>
            <w:r/>
          </w:p>
        </w:tc>
      </w:tr>
      <w:tr>
        <w:trPr/>
        <w:tc>
          <w:tcPr>
            <w:tcW w:w="1603" w:type="dxa"/>
            <w:vAlign w:val="center"/>
            <w:textDirection w:val="lrTb"/>
            <w:noWrap w:val="false"/>
          </w:tcPr>
          <w:p>
            <w:pPr>
              <w:jc w:val="left"/>
              <w:rPr>
                <w:b/>
                <w:sz w:val="20"/>
                <w:szCs w:val="20"/>
              </w:rPr>
            </w:pPr>
            <w:r>
              <w:rPr>
                <w:b/>
                <w:sz w:val="20"/>
                <w:szCs w:val="20"/>
              </w:rPr>
              <w:t xml:space="preserve">Fase de ciclo de vida de calidad</w:t>
            </w:r>
            <w:r/>
          </w:p>
        </w:tc>
        <w:tc>
          <w:tcPr>
            <w:tcW w:w="6607" w:type="dxa"/>
            <w:vAlign w:val="center"/>
            <w:textDirection w:val="lrTb"/>
            <w:noWrap w:val="false"/>
          </w:tcPr>
          <w:p>
            <w:pPr>
              <w:jc w:val="left"/>
              <w:rPr>
                <w:sz w:val="20"/>
                <w:szCs w:val="20"/>
              </w:rPr>
            </w:pPr>
            <w:r>
              <w:rPr>
                <w:sz w:val="20"/>
                <w:szCs w:val="20"/>
              </w:rPr>
              <w:t xml:space="preserve">Uso.</w:t>
            </w:r>
            <w:r/>
          </w:p>
        </w:tc>
      </w:tr>
      <w:tr>
        <w:trPr/>
        <w:tc>
          <w:tcPr>
            <w:tcW w:w="1603" w:type="dxa"/>
            <w:vAlign w:val="center"/>
            <w:textDirection w:val="lrTb"/>
            <w:noWrap w:val="false"/>
          </w:tcPr>
          <w:p>
            <w:pPr>
              <w:jc w:val="left"/>
              <w:rPr>
                <w:b/>
                <w:sz w:val="20"/>
                <w:szCs w:val="20"/>
              </w:rPr>
            </w:pPr>
            <w:r>
              <w:rPr>
                <w:b/>
                <w:sz w:val="20"/>
                <w:szCs w:val="20"/>
              </w:rPr>
              <w:t xml:space="preserve">Propósito de la métrica</w:t>
            </w:r>
            <w:r/>
          </w:p>
        </w:tc>
        <w:tc>
          <w:tcPr>
            <w:tcW w:w="6607" w:type="dxa"/>
            <w:vAlign w:val="center"/>
            <w:textDirection w:val="lrTb"/>
            <w:noWrap w:val="false"/>
          </w:tcPr>
          <w:p>
            <w:pPr>
              <w:jc w:val="left"/>
              <w:rPr>
                <w:sz w:val="20"/>
                <w:szCs w:val="20"/>
              </w:rPr>
            </w:pPr>
            <w:r>
              <w:rPr>
                <w:sz w:val="20"/>
                <w:szCs w:val="20"/>
              </w:rPr>
              <w:t xml:space="preserve">Determinar qué cantidad de tareas son completadas correctamente.</w:t>
            </w:r>
            <w:r/>
          </w:p>
        </w:tc>
      </w:tr>
      <w:tr>
        <w:trPr/>
        <w:tc>
          <w:tcPr>
            <w:tcW w:w="1603" w:type="dxa"/>
            <w:vAlign w:val="center"/>
            <w:textDirection w:val="lrTb"/>
            <w:noWrap w:val="false"/>
          </w:tcPr>
          <w:p>
            <w:pPr>
              <w:jc w:val="left"/>
              <w:rPr>
                <w:b/>
                <w:sz w:val="20"/>
                <w:szCs w:val="20"/>
              </w:rPr>
            </w:pPr>
            <w:r>
              <w:rPr>
                <w:b/>
                <w:sz w:val="20"/>
                <w:szCs w:val="20"/>
              </w:rPr>
              <w:t xml:space="preserve">Método de aplicación</w:t>
            </w:r>
            <w:r/>
          </w:p>
        </w:tc>
        <w:tc>
          <w:tcPr>
            <w:tcW w:w="6607" w:type="dxa"/>
            <w:vAlign w:val="center"/>
            <w:textDirection w:val="lrTb"/>
            <w:noWrap w:val="false"/>
          </w:tcPr>
          <w:p>
            <w:pPr>
              <w:jc w:val="left"/>
              <w:rPr>
                <w:sz w:val="20"/>
                <w:szCs w:val="20"/>
              </w:rPr>
            </w:pPr>
            <w:r>
              <w:rPr>
                <w:sz w:val="20"/>
                <w:szCs w:val="20"/>
              </w:rPr>
              <w:t xml:space="preserve">Contar el número de tareas intentadas y el número de tareas completadas.</w:t>
            </w:r>
            <w:r/>
          </w:p>
        </w:tc>
      </w:tr>
      <w:tr>
        <w:trPr/>
        <w:tc>
          <w:tcPr>
            <w:tcW w:w="1603" w:type="dxa"/>
            <w:vAlign w:val="center"/>
            <w:textDirection w:val="lrTb"/>
            <w:noWrap w:val="false"/>
          </w:tcPr>
          <w:p>
            <w:pPr>
              <w:jc w:val="left"/>
              <w:rPr>
                <w:b/>
                <w:sz w:val="20"/>
                <w:szCs w:val="20"/>
              </w:rPr>
            </w:pPr>
            <w:r>
              <w:rPr>
                <w:b/>
                <w:sz w:val="20"/>
                <w:szCs w:val="20"/>
              </w:rPr>
              <w:t xml:space="preserve">Fórmula y cálculo de datos</w:t>
            </w:r>
            <w:r/>
          </w:p>
        </w:tc>
        <w:tc>
          <w:tcPr>
            <w:tcW w:w="6607" w:type="dxa"/>
            <w:vAlign w:val="center"/>
            <w:textDirection w:val="lrTb"/>
            <w:noWrap w:val="false"/>
          </w:tcPr>
          <w:p>
            <w:pPr>
              <w:jc w:val="left"/>
              <w:rPr>
                <w:sz w:val="20"/>
                <w:szCs w:val="20"/>
              </w:rPr>
            </w:pPr>
            <w:r>
              <w:rPr>
                <w:rFonts w:ascii="Cambria Math" w:hAnsi="Cambria Math"/>
                <w:i/>
                <w:sz w:val="20"/>
                <w:szCs w:val="20"/>
              </w:rPr>
              <w:t xml:space="preserve">X = A/B, </w:t>
            </w:r>
            <w:r>
              <w:rPr>
                <w:sz w:val="20"/>
                <w:szCs w:val="20"/>
              </w:rPr>
              <w:t xml:space="preserve">siendo:</w:t>
            </w:r>
            <w:r/>
          </w:p>
          <w:p>
            <w:pPr>
              <w:pStyle w:val="480"/>
              <w:numPr>
                <w:ilvl w:val="0"/>
                <w:numId w:val="32"/>
              </w:numPr>
              <w:jc w:val="left"/>
              <w:rPr>
                <w:sz w:val="20"/>
                <w:szCs w:val="20"/>
              </w:rPr>
            </w:pPr>
            <w:r>
              <w:rPr>
                <w:rFonts w:ascii="Cambria Math" w:hAnsi="Cambria Math"/>
                <w:i/>
                <w:sz w:val="20"/>
                <w:szCs w:val="20"/>
              </w:rPr>
              <w:t xml:space="preserve">A </w:t>
            </w:r>
            <w:r>
              <w:rPr>
                <w:sz w:val="20"/>
                <w:szCs w:val="20"/>
              </w:rPr>
              <w:t xml:space="preserve">el número de tareas completadas.</w:t>
            </w:r>
            <w:r/>
          </w:p>
          <w:p>
            <w:pPr>
              <w:pStyle w:val="480"/>
              <w:numPr>
                <w:ilvl w:val="0"/>
                <w:numId w:val="32"/>
              </w:numPr>
              <w:jc w:val="left"/>
              <w:rPr>
                <w:sz w:val="20"/>
                <w:szCs w:val="20"/>
              </w:rPr>
            </w:pPr>
            <w:r>
              <w:rPr>
                <w:rFonts w:ascii="Cambria Math" w:hAnsi="Cambria Math"/>
                <w:i/>
                <w:sz w:val="20"/>
                <w:szCs w:val="20"/>
              </w:rPr>
              <w:t xml:space="preserve">B </w:t>
            </w:r>
            <w:r>
              <w:rPr>
                <w:sz w:val="20"/>
                <w:szCs w:val="20"/>
              </w:rPr>
              <w:t xml:space="preserve">el número de tareas intentadas.</w:t>
            </w:r>
            <w:r/>
          </w:p>
        </w:tc>
      </w:tr>
      <w:tr>
        <w:trPr/>
        <w:tc>
          <w:tcPr>
            <w:tcW w:w="1603" w:type="dxa"/>
            <w:vAlign w:val="center"/>
            <w:textDirection w:val="lrTb"/>
            <w:noWrap w:val="false"/>
          </w:tcPr>
          <w:p>
            <w:pPr>
              <w:jc w:val="left"/>
              <w:rPr>
                <w:b/>
                <w:sz w:val="20"/>
                <w:szCs w:val="20"/>
              </w:rPr>
            </w:pPr>
            <w:r>
              <w:rPr>
                <w:b/>
                <w:sz w:val="20"/>
                <w:szCs w:val="20"/>
              </w:rPr>
              <w:t xml:space="preserve">Valor esperado</w:t>
            </w:r>
            <w:r/>
          </w:p>
        </w:tc>
        <w:tc>
          <w:tcPr>
            <w:tcW w:w="6607" w:type="dxa"/>
            <w:vAlign w:val="center"/>
            <w:textDirection w:val="lrTb"/>
            <w:noWrap w:val="false"/>
          </w:tcPr>
          <w:p>
            <w:pPr>
              <w:jc w:val="left"/>
              <w:rPr>
                <w:sz w:val="20"/>
                <w:szCs w:val="20"/>
              </w:rPr>
            </w:pPr>
            <w:r>
              <w:rPr>
                <w:sz w:val="20"/>
                <w:szCs w:val="20"/>
              </w:rPr>
              <w:t xml:space="preserve">0 </w:t>
            </w:r>
            <w:r>
              <w:rPr>
                <w:rFonts w:ascii="Symbol" w:hAnsi="Symbol" w:cs="Symbol" w:eastAsia="Symbol"/>
                <w:sz w:val="20"/>
                <w:szCs w:val="20"/>
              </w:rPr>
              <w:t xml:space="preserve">£</w:t>
            </w:r>
            <w:r>
              <w:rPr>
                <w:sz w:val="20"/>
                <w:szCs w:val="20"/>
              </w:rPr>
              <w:t xml:space="preserve"> </w:t>
            </w:r>
            <w:r>
              <w:rPr>
                <w:rFonts w:ascii="Cambria Math" w:hAnsi="Cambria Math"/>
                <w:i/>
                <w:sz w:val="20"/>
                <w:szCs w:val="20"/>
              </w:rPr>
              <w:t xml:space="preserve">X </w:t>
            </w:r>
            <w:r>
              <w:rPr>
                <w:rFonts w:ascii="Symbol" w:hAnsi="Symbol" w:cs="Symbol" w:eastAsia="Symbol"/>
                <w:i/>
                <w:sz w:val="20"/>
                <w:szCs w:val="20"/>
              </w:rPr>
              <w:t xml:space="preserve">£</w:t>
            </w:r>
            <w:r>
              <w:rPr>
                <w:sz w:val="20"/>
                <w:szCs w:val="20"/>
              </w:rPr>
              <w:t xml:space="preserve"> 1, siendo preferibles valores próximos a 1.</w:t>
            </w:r>
            <w:r/>
          </w:p>
        </w:tc>
      </w:tr>
      <w:tr>
        <w:trPr/>
        <w:tc>
          <w:tcPr>
            <w:tcW w:w="1603" w:type="dxa"/>
            <w:vAlign w:val="center"/>
            <w:textDirection w:val="lrTb"/>
            <w:noWrap w:val="false"/>
          </w:tcPr>
          <w:p>
            <w:pPr>
              <w:jc w:val="left"/>
              <w:rPr>
                <w:b/>
                <w:sz w:val="20"/>
                <w:szCs w:val="20"/>
              </w:rPr>
            </w:pPr>
            <w:r>
              <w:rPr>
                <w:b/>
                <w:sz w:val="20"/>
                <w:szCs w:val="20"/>
              </w:rPr>
              <w:t xml:space="preserve">Tipo de medida</w:t>
            </w:r>
            <w:r/>
          </w:p>
        </w:tc>
        <w:tc>
          <w:tcPr>
            <w:tcW w:w="6607" w:type="dxa"/>
            <w:vAlign w:val="center"/>
            <w:textDirection w:val="lrTb"/>
            <w:noWrap w:val="false"/>
          </w:tcPr>
          <w:p>
            <w:pPr>
              <w:pStyle w:val="480"/>
              <w:numPr>
                <w:ilvl w:val="0"/>
                <w:numId w:val="33"/>
              </w:numPr>
              <w:jc w:val="left"/>
              <w:keepNext/>
              <w:rPr>
                <w:sz w:val="20"/>
                <w:szCs w:val="20"/>
              </w:rPr>
            </w:pPr>
            <w:r>
              <w:rPr>
                <w:rFonts w:ascii="Cambria Math" w:hAnsi="Cambria Math"/>
                <w:i/>
                <w:sz w:val="20"/>
                <w:szCs w:val="20"/>
              </w:rPr>
              <w:t xml:space="preserve">X </w:t>
            </w:r>
            <w:r>
              <w:rPr>
                <w:sz w:val="20"/>
                <w:szCs w:val="20"/>
              </w:rPr>
              <w:t xml:space="preserve">de tipo contable/contable.</w:t>
            </w:r>
            <w:r/>
          </w:p>
          <w:p>
            <w:pPr>
              <w:pStyle w:val="480"/>
              <w:numPr>
                <w:ilvl w:val="0"/>
                <w:numId w:val="33"/>
              </w:numPr>
              <w:jc w:val="left"/>
              <w:keepNext/>
              <w:rPr>
                <w:sz w:val="20"/>
                <w:szCs w:val="20"/>
              </w:rPr>
            </w:pPr>
            <w:r>
              <w:rPr>
                <w:rFonts w:ascii="Cambria Math" w:hAnsi="Cambria Math"/>
                <w:i/>
                <w:sz w:val="20"/>
                <w:szCs w:val="20"/>
              </w:rPr>
              <w:t xml:space="preserve">A </w:t>
            </w:r>
            <w:r>
              <w:rPr>
                <w:sz w:val="20"/>
                <w:szCs w:val="20"/>
              </w:rPr>
              <w:t xml:space="preserve">y</w:t>
            </w:r>
            <w:r>
              <w:rPr>
                <w:rFonts w:ascii="Cambria Math" w:hAnsi="Cambria Math"/>
                <w:i/>
                <w:sz w:val="20"/>
                <w:szCs w:val="20"/>
              </w:rPr>
              <w:t xml:space="preserve"> B </w:t>
            </w:r>
            <w:r>
              <w:rPr>
                <w:sz w:val="20"/>
                <w:szCs w:val="20"/>
              </w:rPr>
              <w:t xml:space="preserve">de tipo contable.</w:t>
            </w:r>
            <w:r/>
          </w:p>
        </w:tc>
      </w:tr>
    </w:tbl>
    <w:p>
      <w:pPr>
        <w:pStyle w:val="478"/>
      </w:pPr>
      <w:r>
        <w:t xml:space="preserve">Tabla </w:t>
      </w:r>
      <w:r>
        <w:fldChar w:fldCharType="begin"/>
      </w:r>
      <w:r>
        <w:instrText xml:space="preserve"> SEQ Tabla \* ARABIC </w:instrText>
      </w:r>
      <w:r>
        <w:fldChar w:fldCharType="separate"/>
      </w:r>
      <w:r>
        <w:t xml:space="preserve">8</w:t>
      </w:r>
      <w:r>
        <w:fldChar w:fldCharType="end"/>
      </w:r>
      <w:r>
        <w:t xml:space="preserve">. </w:t>
      </w:r>
      <w:r>
        <w:t xml:space="preserve">Ejemplo de métrica relacionada con la característica </w:t>
      </w:r>
      <w:r>
        <w:t xml:space="preserve">en uso </w:t>
      </w:r>
      <w:r>
        <w:t xml:space="preserve">de </w:t>
      </w:r>
      <w:r>
        <w:t xml:space="preserve">efectividad</w:t>
      </w:r>
      <w:r>
        <w:t xml:space="preserve">: </w:t>
      </w:r>
      <w:r>
        <w:rPr>
          <w:b/>
        </w:rPr>
        <w:t xml:space="preserve">Completitud de la tarea</w:t>
      </w:r>
      <w:r>
        <w:t xml:space="preserve">.</w:t>
      </w:r>
      <w:r>
        <w:br/>
        <w:t xml:space="preserve">Fuente: Elaboración propia a partir de ISO/IEC 25022 </w:t>
      </w:r>
      <w:r>
        <w:t xml:space="preserve">(ISO, 2016a)</w:t>
      </w:r>
      <w:r/>
    </w:p>
    <w:p>
      <w:r/>
      <w:r/>
    </w:p>
    <w:p>
      <w:r>
        <w:t xml:space="preserve">Existen infinidad de métricas que tradicionalmente se han venido empleando en la evaluación de la calidad del software desde diferentes puntos de vista. En el trabajo de Constanzo</w:t>
      </w:r>
      <w:r>
        <w:t xml:space="preserve">, Casas y Marcos</w:t>
      </w:r>
      <w:r>
        <w:t xml:space="preserve"> (2014) encontrarás una recopilación de ellas, agrupadas según su utilidad a distintos enfoques del proceso de desarrollo: desarrollo orientado a objetos, desarrollo basado en componentes, desarrollo orientado a aspectos y métodos ágiles.</w:t>
      </w:r>
      <w:r/>
    </w:p>
    <w:p>
      <w:r/>
      <w:r/>
    </w:p>
    <w:p>
      <w:pPr>
        <w:sectPr>
          <w:footnotePr/>
          <w:type w:val="nextPage"/>
          <w:pgSz w:w="11906" w:h="16838" w:orient="portrait"/>
          <w:pgMar w:top="1418" w:right="1843" w:bottom="1418" w:left="1843" w:header="1134" w:footer="397"/>
          <w:cols w:num="1" w:sep="0" w:space="708" w:equalWidth="1"/>
          <w:docGrid w:linePitch="360"/>
        </w:sectPr>
      </w:pPr>
      <w:r/>
      <w:r/>
    </w:p>
    <w:p>
      <w:pPr>
        <w:pStyle w:val="488"/>
      </w:pPr>
      <w:r/>
      <w:bookmarkStart w:id="25" w:name="_Toc535214629"/>
      <w:r>
        <w:t xml:space="preserve">10.9. ISO/IEC 25040: </w:t>
      </w:r>
      <w:r>
        <w:t xml:space="preserve">e</w:t>
      </w:r>
      <w:r>
        <w:t xml:space="preserve">valuación del software</w:t>
      </w:r>
      <w:bookmarkEnd w:id="25"/>
      <w:r/>
      <w:r/>
    </w:p>
    <w:p>
      <w:r/>
      <w:r/>
    </w:p>
    <w:p>
      <w:r>
        <w:t xml:space="preserve">La norma</w:t>
      </w:r>
      <w:r>
        <w:rPr>
          <w:b/>
        </w:rPr>
        <w:t xml:space="preserve"> ISO/IEC 25040:2011 </w:t>
      </w:r>
      <w:r>
        <w:t xml:space="preserve">contiene requisitos y r</w:t>
      </w:r>
      <w:r>
        <w:t xml:space="preserve">ecomendaciones para la evaluación de la calidad del producto software. Puesto que está dirigida a todo aquel responsable de la evaluación del producto, resulta apropiada para desarrolladores, adquisidores y también evaluadores independientes de productos. </w:t>
      </w:r>
      <w:r/>
    </w:p>
    <w:p>
      <w:r/>
      <w:r/>
    </w:p>
    <w:p>
      <w:r>
        <w:t xml:space="preserve">Define un modelo de proceso de evaluación formado por </w:t>
      </w:r>
      <w:r>
        <w:rPr>
          <w:b/>
        </w:rPr>
        <w:t xml:space="preserve">cinco actividades principales</w:t>
      </w:r>
      <w:r>
        <w:t xml:space="preserve">, como se muestra en la</w:t>
      </w:r>
      <w:r>
        <w:t xml:space="preserve"> f</w:t>
      </w:r>
      <w:r>
        <w:t xml:space="preserve">igura 10.</w:t>
      </w:r>
      <w:r/>
    </w:p>
    <w:p>
      <w:r/>
      <w:r/>
    </w:p>
    <w:p>
      <w:pPr>
        <w:jc w:val="center"/>
      </w:pPr>
      <w:r>
        <mc:AlternateContent>
          <mc:Choice Requires="wpg">
            <w:drawing>
              <wp:inline xmlns:wp="http://schemas.openxmlformats.org/drawingml/2006/wordprocessingDrawing" distT="0" distB="0" distL="0" distR="0">
                <wp:extent cx="5426075" cy="4667693"/>
                <wp:effectExtent l="0" t="0" r="3175" b="0"/>
                <wp:docPr id="35"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3" hidden="0"/>
                        <pic:cNvPicPr>
                          <a:picLocks noChangeAspect="1"/>
                        </pic:cNvPicPr>
                      </pic:nvPicPr>
                      <pic:blipFill>
                        <a:blip r:embed="rId26"/>
                        <a:srcRect l="0" t="0" r="0" b="3936"/>
                        <a:stretch/>
                      </pic:blipFill>
                      <pic:spPr bwMode="auto">
                        <a:xfrm>
                          <a:off x="0" y="0"/>
                          <a:ext cx="5426075" cy="466769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7.2pt;height:367.5pt;">
                <v:path textboxrect="0,0,0,0"/>
                <v:imagedata r:id="rId26" o:title=""/>
              </v:shape>
            </w:pict>
          </mc:Fallback>
        </mc:AlternateContent>
      </w:r>
      <w:r/>
    </w:p>
    <w:p>
      <w:pPr>
        <w:pStyle w:val="478"/>
        <w:sectPr>
          <w:footnotePr/>
          <w:type w:val="nextPage"/>
          <w:pgSz w:w="11906" w:h="16838" w:orient="portrait"/>
          <w:pgMar w:top="1418" w:right="1843" w:bottom="1418" w:left="1843" w:header="1134" w:footer="397"/>
          <w:cols w:num="1" w:sep="0" w:space="708" w:equalWidth="1"/>
          <w:docGrid w:linePitch="360"/>
        </w:sectPr>
      </w:pPr>
      <w:r/>
      <w:bookmarkStart w:id="26" w:name="_Ref528262460"/>
      <w:r>
        <w:t xml:space="preserve">Figura </w:t>
      </w:r>
      <w:r>
        <w:fldChar w:fldCharType="begin"/>
      </w:r>
      <w:r>
        <w:instrText xml:space="preserve"> SEQ Figura \* ARABIC </w:instrText>
      </w:r>
      <w:r>
        <w:fldChar w:fldCharType="separate"/>
      </w:r>
      <w:r>
        <w:t xml:space="preserve">10</w:t>
      </w:r>
      <w:r>
        <w:fldChar w:fldCharType="end"/>
      </w:r>
      <w:bookmarkEnd w:id="26"/>
      <w:r>
        <w:t xml:space="preserve">. Actividades y tareas definidas para el proceso de evaluación según ISO/IEC 25040:2011</w:t>
      </w:r>
      <w:r/>
    </w:p>
    <w:p>
      <w:pPr>
        <w:pStyle w:val="480"/>
        <w:numPr>
          <w:ilvl w:val="0"/>
          <w:numId w:val="34"/>
        </w:numPr>
      </w:pPr>
      <w:r>
        <w:rPr>
          <w:b/>
        </w:rPr>
        <w:t xml:space="preserve">Durante la primera actividad se definen los requisitos de la evaluación</w:t>
      </w:r>
      <w:r>
        <w:t xml:space="preserve">. Para ello</w:t>
      </w:r>
      <w:r>
        <w:t xml:space="preserve">,</w:t>
      </w:r>
      <w:r>
        <w:t xml:space="preserve"> se comienza definiendo el </w:t>
      </w:r>
      <w:r>
        <w:rPr>
          <w:b/>
        </w:rPr>
        <w:t xml:space="preserve">propósito de la evaluación</w:t>
      </w:r>
      <w:r>
        <w:t xml:space="preserve"> (decidir si se compra un producto, asegurar su calidad, comparar la calidad de un producto con otros semejantes, etc.). Para obtener los requisitos de calidad es necesario</w:t>
      </w:r>
      <w:r>
        <w:rPr>
          <w:b/>
        </w:rPr>
        <w:t xml:space="preserve"> conocer los puntos de vista</w:t>
      </w:r>
      <w:r>
        <w:t xml:space="preserve"> de las partes interesadas (usuarios, proveedores, compradores…) y aplicar algún modelo de calidad. También es necesario </w:t>
      </w:r>
      <w:r>
        <w:rPr>
          <w:b/>
        </w:rPr>
        <w:t xml:space="preserve">definir qué partes se van a evaluar</w:t>
      </w:r>
      <w:r>
        <w:t xml:space="preserve">, así como</w:t>
      </w:r>
      <w:r>
        <w:rPr>
          <w:b/>
        </w:rPr>
        <w:t xml:space="preserve"> el rigor de la evaluación</w:t>
      </w:r>
      <w:r>
        <w:t xml:space="preserve">, que dependerá de</w:t>
      </w:r>
      <w:r>
        <w:t xml:space="preserve"> su</w:t>
      </w:r>
      <w:r>
        <w:t xml:space="preserve"> propósito y del uso previsto para el software. En función de este rigor será posible </w:t>
      </w:r>
      <w:r>
        <w:rPr>
          <w:b/>
        </w:rPr>
        <w:t xml:space="preserve">elegir las técnicas</w:t>
      </w:r>
      <w:r>
        <w:t xml:space="preserve"> a utilizar y los</w:t>
      </w:r>
      <w:r>
        <w:rPr>
          <w:b/>
        </w:rPr>
        <w:t xml:space="preserve"> resultados esperados</w:t>
      </w:r>
      <w:r>
        <w:t xml:space="preserve"> de la evaluación.</w:t>
      </w:r>
      <w:r/>
    </w:p>
    <w:p>
      <w:pPr>
        <w:pStyle w:val="480"/>
        <w:ind w:left="284"/>
      </w:pPr>
      <w:r/>
      <w:r/>
    </w:p>
    <w:p>
      <w:pPr>
        <w:pStyle w:val="480"/>
        <w:numPr>
          <w:ilvl w:val="0"/>
          <w:numId w:val="34"/>
        </w:numPr>
      </w:pPr>
      <w:r>
        <w:t xml:space="preserve">A continuación, </w:t>
      </w:r>
      <w:r>
        <w:rPr>
          <w:b/>
        </w:rPr>
        <w:t xml:space="preserve">se especifican los módulos de evaluación</w:t>
      </w:r>
      <w:r>
        <w:t xml:space="preserve">, que están compuestos por métricas, herramientas y técnicas de medición. Para </w:t>
      </w:r>
      <w:r>
        <w:rPr>
          <w:b/>
        </w:rPr>
        <w:t xml:space="preserve">definir las métricas </w:t>
      </w:r>
      <w:r>
        <w:t xml:space="preserve">apropiadas se puede utilizar la norma</w:t>
      </w:r>
      <w:r>
        <w:rPr>
          <w:b/>
        </w:rPr>
        <w:t xml:space="preserve"> ISO/IEC 25020</w:t>
      </w:r>
      <w:r>
        <w:t xml:space="preserve">. Los criterios de de</w:t>
      </w:r>
      <w:r>
        <w:t xml:space="preserve">cisión para las métricas son umbrales numéricos que se pueden relacionar con los requisitos de calidad y con los criterios de evaluación. Los criterios de evaluación permiten evaluar las características de calidad teniendo en cuenta las métricas definidas.</w:t>
      </w:r>
      <w:r/>
    </w:p>
    <w:p>
      <w:pPr>
        <w:pStyle w:val="480"/>
        <w:ind w:left="284"/>
      </w:pPr>
      <w:r/>
      <w:r/>
    </w:p>
    <w:p>
      <w:pPr>
        <w:pStyle w:val="480"/>
        <w:numPr>
          <w:ilvl w:val="0"/>
          <w:numId w:val="34"/>
        </w:numPr>
      </w:pPr>
      <w:r>
        <w:t xml:space="preserve">La siguiente actividad consiste en </w:t>
      </w:r>
      <w:r>
        <w:rPr>
          <w:b/>
        </w:rPr>
        <w:t xml:space="preserve">planificar las actividades de evaluación</w:t>
      </w:r>
      <w:r>
        <w:t xml:space="preserve">. Para ello</w:t>
      </w:r>
      <w:r>
        <w:t xml:space="preserve">,</w:t>
      </w:r>
      <w:r>
        <w:t xml:space="preserve"> se tendrá en cuenta la disponibilidad de recursos (materiales y humanos), el presupuesto y las herramientas necesarias.</w:t>
      </w:r>
      <w:r/>
    </w:p>
    <w:p>
      <w:pPr>
        <w:pStyle w:val="480"/>
        <w:ind w:left="284"/>
      </w:pPr>
      <w:r/>
      <w:r/>
    </w:p>
    <w:p>
      <w:pPr>
        <w:pStyle w:val="480"/>
        <w:numPr>
          <w:ilvl w:val="0"/>
          <w:numId w:val="34"/>
        </w:numPr>
      </w:pPr>
      <w:r>
        <w:t xml:space="preserve">La ejecución de la evaluación comienza por la </w:t>
      </w:r>
      <w:r>
        <w:rPr>
          <w:b/>
        </w:rPr>
        <w:t xml:space="preserve">obtención de las medidas teniendo en cuenta las métricas seleccionadas</w:t>
      </w:r>
      <w:r>
        <w:t xml:space="preserve">. Sobre estos valores se aplican los criterios de decisión definidos en la actividad 2 y</w:t>
      </w:r>
      <w:r>
        <w:t xml:space="preserve">,</w:t>
      </w:r>
      <w:r>
        <w:t xml:space="preserve"> finalmente</w:t>
      </w:r>
      <w:r>
        <w:t xml:space="preserve">,</w:t>
      </w:r>
      <w:r>
        <w:t xml:space="preserve"> se aplican los criterios de decisión a nivel de característica y </w:t>
      </w:r>
      <w:r>
        <w:t xml:space="preserve">subcaracterística</w:t>
      </w:r>
      <w:r>
        <w:t xml:space="preserve"> de calidad. El resultado es una </w:t>
      </w:r>
      <w:r>
        <w:rPr>
          <w:b/>
        </w:rPr>
        <w:t xml:space="preserve">valoración de la calidad del producto analizado</w:t>
      </w:r>
      <w:r>
        <w:t xml:space="preserve">.</w:t>
      </w:r>
      <w:r/>
    </w:p>
    <w:p>
      <w:pPr>
        <w:pStyle w:val="480"/>
        <w:ind w:left="284"/>
      </w:pPr>
      <w:r/>
      <w:r/>
    </w:p>
    <w:p>
      <w:pPr>
        <w:pStyle w:val="480"/>
        <w:numPr>
          <w:ilvl w:val="0"/>
          <w:numId w:val="34"/>
        </w:numPr>
      </w:pPr>
      <w:r>
        <w:t xml:space="preserve">Por último, se concluye la </w:t>
      </w:r>
      <w:r>
        <w:rPr>
          <w:b/>
        </w:rPr>
        <w:t xml:space="preserve">evaluación de los resultados</w:t>
      </w:r>
      <w:r>
        <w:t xml:space="preserve">, donde participan tanto el evaluador como el cliente de la evaluación. Se elabora un </w:t>
      </w:r>
      <w:r>
        <w:rPr>
          <w:b/>
        </w:rPr>
        <w:t xml:space="preserve">informe</w:t>
      </w:r>
      <w:r>
        <w:t xml:space="preserve"> que contiene los requisitos de la evaluación, los resultados y cualquier otra información, como limitaciones y restricciones del proceso. A la luz de todo ello se revisa el propio </w:t>
      </w:r>
      <w:r>
        <w:t xml:space="preserve">proceso y su validez, con el fin de obtener retroalimentación para la mejora de futuras evaluaciones.</w:t>
      </w:r>
      <w:r/>
    </w:p>
    <w:p>
      <w:r/>
      <w:r/>
    </w:p>
    <w:p>
      <w:r/>
      <w:r/>
    </w:p>
    <w:p>
      <w:pPr>
        <w:pStyle w:val="488"/>
      </w:pPr>
      <w:r/>
      <w:bookmarkStart w:id="27" w:name="_Toc535214630"/>
      <w:r>
        <w:t xml:space="preserve">10.10. El proceso de certificación</w:t>
      </w:r>
      <w:bookmarkEnd w:id="27"/>
      <w:r/>
      <w:r/>
    </w:p>
    <w:p>
      <w:r/>
      <w:r/>
    </w:p>
    <w:p>
      <w:pPr>
        <w:rPr>
          <w:b/>
        </w:rPr>
      </w:pPr>
      <w:r>
        <w:rPr>
          <w:b/>
        </w:rPr>
        <w:t xml:space="preserve">La certificación de calidad de un producto mediante </w:t>
      </w:r>
      <w:r>
        <w:rPr>
          <w:b/>
        </w:rPr>
        <w:t xml:space="preserve">SQuaRE</w:t>
      </w:r>
      <w:r>
        <w:rPr>
          <w:b/>
        </w:rPr>
        <w:t xml:space="preserve"> permite por un lado a las empresas que fabrican software conocer la calidad de sus productos y, por otro, a las empresas compradoras les ayuda a decidirse por la solución más adecuada. </w:t>
      </w:r>
      <w:r/>
    </w:p>
    <w:p>
      <w:r/>
      <w:r/>
    </w:p>
    <w:p>
      <w:r>
        <w:t xml:space="preserve">Los principales beneficios que ofrece la obtención de una certificación son los siguientes (AENOR, 2018a; Fernández, Rodríguez, &amp; </w:t>
      </w:r>
      <w:r>
        <w:t xml:space="preserve">Piattini</w:t>
      </w:r>
      <w:r>
        <w:t xml:space="preserve">, 2013):</w:t>
      </w:r>
      <w:r/>
    </w:p>
    <w:p>
      <w:r/>
      <w:r/>
    </w:p>
    <w:p>
      <w:pPr>
        <w:pStyle w:val="480"/>
        <w:numPr>
          <w:ilvl w:val="0"/>
          <w:numId w:val="35"/>
        </w:numPr>
      </w:pPr>
      <w:r>
        <w:t xml:space="preserve">Permite a los fabricantes de software</w:t>
      </w:r>
      <w:r>
        <w:rPr>
          <w:b/>
        </w:rPr>
        <w:t xml:space="preserve"> diferenciarse de sus competidores</w:t>
      </w:r>
      <w:r>
        <w:t xml:space="preserve">. </w:t>
      </w:r>
      <w:r/>
    </w:p>
    <w:p>
      <w:pPr>
        <w:pStyle w:val="480"/>
        <w:numPr>
          <w:ilvl w:val="0"/>
          <w:numId w:val="35"/>
        </w:numPr>
      </w:pPr>
      <w:r>
        <w:t xml:space="preserve">Permite </w:t>
      </w:r>
      <w:r>
        <w:rPr>
          <w:b/>
        </w:rPr>
        <w:t xml:space="preserve">establecer acuerdos de servicio</w:t>
      </w:r>
      <w:r>
        <w:t xml:space="preserve"> con un proveedor, definiendo parámetros de calidad que deben cumplirse al entregar el producto.</w:t>
      </w:r>
      <w:r/>
    </w:p>
    <w:p>
      <w:pPr>
        <w:pStyle w:val="480"/>
        <w:numPr>
          <w:ilvl w:val="0"/>
          <w:numId w:val="35"/>
        </w:numPr>
      </w:pPr>
      <w:r>
        <w:t xml:space="preserve">Facilita la</w:t>
      </w:r>
      <w:r>
        <w:rPr>
          <w:b/>
        </w:rPr>
        <w:t xml:space="preserve"> detección de defectos</w:t>
      </w:r>
      <w:r>
        <w:t xml:space="preserve"> en un producto y su mejora antes de la entrega, ahorrando costes en la fase de mantenimiento posterior.</w:t>
      </w:r>
      <w:r/>
    </w:p>
    <w:p>
      <w:pPr>
        <w:pStyle w:val="480"/>
        <w:numPr>
          <w:ilvl w:val="0"/>
          <w:numId w:val="35"/>
        </w:numPr>
      </w:pPr>
      <w:r>
        <w:t xml:space="preserve">Facilita la </w:t>
      </w:r>
      <w:r>
        <w:rPr>
          <w:b/>
        </w:rPr>
        <w:t xml:space="preserve">evaluación y control del rendimiento </w:t>
      </w:r>
      <w:r>
        <w:t xml:space="preserve">del producto.</w:t>
      </w:r>
      <w:r/>
    </w:p>
    <w:p>
      <w:r/>
      <w:r/>
    </w:p>
    <w:p>
      <w:pPr>
        <w:jc w:val="center"/>
      </w:pPr>
      <w:r>
        <mc:AlternateContent>
          <mc:Choice Requires="wpg">
            <w:drawing>
              <wp:inline xmlns:wp="http://schemas.openxmlformats.org/drawingml/2006/wordprocessingDrawing" distT="0" distB="0" distL="0" distR="0">
                <wp:extent cx="2879705" cy="1391980"/>
                <wp:effectExtent l="0" t="0" r="0" b="0"/>
                <wp:docPr id="36" name="Imagen 4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g9.png" hidden="0"/>
                        <pic:cNvPicPr>
                          <a:picLocks noChangeAspect="1"/>
                        </pic:cNvPicPr>
                      </pic:nvPicPr>
                      <pic:blipFill>
                        <a:blip r:embed="rId27"/>
                        <a:stretch/>
                      </pic:blipFill>
                      <pic:spPr bwMode="auto">
                        <a:xfrm>
                          <a:off x="0" y="0"/>
                          <a:ext cx="2879705" cy="1391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226.7pt;height:109.6pt;" stroked="false">
                <v:path textboxrect="0,0,0,0"/>
                <v:imagedata r:id="rId27" o:title=""/>
              </v:shape>
            </w:pict>
          </mc:Fallback>
        </mc:AlternateContent>
      </w:r>
      <w:r/>
    </w:p>
    <w:p>
      <w:pPr>
        <w:pStyle w:val="478"/>
      </w:pPr>
      <w:r>
        <w:t xml:space="preserve">Figura </w:t>
      </w:r>
      <w:r>
        <w:fldChar w:fldCharType="begin"/>
      </w:r>
      <w:r>
        <w:instrText xml:space="preserve"> SEQ Figura \* ARABIC </w:instrText>
      </w:r>
      <w:r>
        <w:fldChar w:fldCharType="separate"/>
      </w:r>
      <w:r>
        <w:t xml:space="preserve">11</w:t>
      </w:r>
      <w:r>
        <w:fldChar w:fldCharType="end"/>
      </w:r>
      <w:r>
        <w:t xml:space="preserve">. Logotipo de la marca AENOR </w:t>
      </w:r>
      <w:r>
        <w:t xml:space="preserve">conform</w:t>
      </w:r>
      <w:r>
        <w:t xml:space="preserve"> que certifica la adecuación funcional (izquierda) y la mantenibilidad (derecha) de un producto software, según ISO/IEC 25000 (</w:t>
      </w:r>
      <w:r>
        <w:t xml:space="preserve">SQuaRE</w:t>
      </w:r>
      <w:r>
        <w:t xml:space="preserve">).</w:t>
      </w:r>
      <w:r>
        <w:t xml:space="preserve"> </w:t>
      </w:r>
      <w:r>
        <w:t xml:space="preserve">Fuente: </w:t>
      </w:r>
      <w:r>
        <w:t xml:space="preserve">AENOR (2018b)</w:t>
      </w:r>
      <w:r/>
    </w:p>
    <w:p>
      <w:pPr>
        <w:sectPr>
          <w:footnotePr/>
          <w:type w:val="nextPage"/>
          <w:pgSz w:w="11906" w:h="16838" w:orient="portrait"/>
          <w:pgMar w:top="1418" w:right="1843" w:bottom="1418" w:left="1843" w:header="1134" w:footer="397"/>
          <w:cols w:num="1" w:sep="0" w:space="708" w:equalWidth="1"/>
          <w:docGrid w:linePitch="360"/>
        </w:sectPr>
      </w:pPr>
      <w:r/>
      <w:r/>
    </w:p>
    <w:p>
      <w:r>
        <w:t xml:space="preserve">El proceso de evaluación y certificación conforme a la norma ISO/IEC25000 consta de </w:t>
      </w:r>
      <w:r>
        <w:t xml:space="preserve">seis</w:t>
      </w:r>
      <w:r>
        <w:t xml:space="preserve"> pasos, como se aprecia en la </w:t>
      </w:r>
      <w:r>
        <w:t xml:space="preserve">f</w:t>
      </w:r>
      <w:r>
        <w:t xml:space="preserve">igura 12:</w:t>
      </w:r>
      <w:r/>
    </w:p>
    <w:p>
      <w:r/>
      <w:r/>
    </w:p>
    <w:p>
      <w:pPr>
        <w:jc w:val="center"/>
      </w:pPr>
      <w:r>
        <mc:AlternateContent>
          <mc:Choice Requires="wpg">
            <w:drawing>
              <wp:inline xmlns:wp="http://schemas.openxmlformats.org/drawingml/2006/wordprocessingDrawing" distT="0" distB="0" distL="0" distR="0">
                <wp:extent cx="3602438" cy="2035896"/>
                <wp:effectExtent l="0" t="0" r="0" b="2540"/>
                <wp:docPr id="37" name="Imagen 5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10.png" hidden="0"/>
                        <pic:cNvPicPr>
                          <a:picLocks noChangeAspect="1"/>
                        </pic:cNvPicPr>
                      </pic:nvPicPr>
                      <pic:blipFill>
                        <a:blip r:embed="rId28"/>
                        <a:stretch/>
                      </pic:blipFill>
                      <pic:spPr bwMode="auto">
                        <a:xfrm>
                          <a:off x="0" y="0"/>
                          <a:ext cx="3602437" cy="20358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83.7pt;height:160.3pt;" stroked="false">
                <v:path textboxrect="0,0,0,0"/>
                <v:imagedata r:id="rId28" o:title=""/>
              </v:shape>
            </w:pict>
          </mc:Fallback>
        </mc:AlternateContent>
      </w:r>
      <w:r/>
    </w:p>
    <w:p>
      <w:pPr>
        <w:pStyle w:val="478"/>
      </w:pPr>
      <w:r/>
      <w:bookmarkStart w:id="28" w:name="_Ref528344246"/>
      <w:r>
        <w:t xml:space="preserve">Figura </w:t>
      </w:r>
      <w:r>
        <w:fldChar w:fldCharType="begin"/>
      </w:r>
      <w:r>
        <w:instrText xml:space="preserve"> SEQ Figura \* ARABIC </w:instrText>
      </w:r>
      <w:r>
        <w:fldChar w:fldCharType="separate"/>
      </w:r>
      <w:r>
        <w:t xml:space="preserve">12</w:t>
      </w:r>
      <w:r>
        <w:fldChar w:fldCharType="end"/>
      </w:r>
      <w:bookmarkEnd w:id="28"/>
      <w:r>
        <w:t xml:space="preserve">. Proceso de evaluación y certificación del producto software.</w:t>
      </w:r>
      <w:r>
        <w:br/>
        <w:t xml:space="preserve">Fuente: ISO</w:t>
      </w:r>
      <w:r>
        <w:t xml:space="preserve">25000.com (2018b)</w:t>
      </w:r>
      <w:r/>
    </w:p>
    <w:p>
      <w:r/>
      <w:r/>
    </w:p>
    <w:p>
      <w:pPr>
        <w:pStyle w:val="480"/>
        <w:numPr>
          <w:ilvl w:val="0"/>
          <w:numId w:val="39"/>
        </w:numPr>
      </w:pPr>
      <w:r>
        <w:rPr>
          <w:b/>
        </w:rPr>
        <w:t xml:space="preserve">La organización interesada solicita una evaluación a un laboratorio acreditado.</w:t>
      </w:r>
      <w:r>
        <w:t xml:space="preserve"> Deben indicar qué características del producto desean evaluar. El laboratorio envía un contrato de evaluación especificando las condiciones de servicio. Si es aceptado, la organización envía el software al laboratorio, que realiza las pruebas empleando un</w:t>
      </w:r>
      <w:r>
        <w:rPr>
          <w:i/>
        </w:rPr>
        <w:t xml:space="preserve"> framework</w:t>
      </w:r>
      <w:r>
        <w:t xml:space="preserve"> (modelo, proceso y herramientas) basado en SQuaRE y acreditado por ENAC (Entidad Nacional de Acreditación).</w:t>
      </w:r>
      <w:r/>
    </w:p>
    <w:p>
      <w:pPr>
        <w:pStyle w:val="480"/>
        <w:ind w:left="284"/>
      </w:pPr>
      <w:r/>
      <w:r/>
    </w:p>
    <w:p>
      <w:pPr>
        <w:pStyle w:val="480"/>
        <w:numPr>
          <w:ilvl w:val="0"/>
          <w:numId w:val="39"/>
        </w:numPr>
      </w:pPr>
      <w:r>
        <w:rPr>
          <w:b/>
        </w:rPr>
        <w:t xml:space="preserve">El resultado de la evaluación se envía a la organización solicitante</w:t>
      </w:r>
      <w:r>
        <w:t xml:space="preserve">. Si es desfavorable, la organización puede recurrir a la ayuda de un consultor de calidad que le ayude a mejorar su producto (ver ecosistema de la </w:t>
      </w:r>
      <w:r>
        <w:t xml:space="preserve">f</w:t>
      </w:r>
      <w:r>
        <w:t xml:space="preserve">igura 13), hasta que consigue superar la evaluación. El proceso finaliza cuando se obtiene una evaluación favorable por parte del laboratorio acreditado.</w:t>
      </w:r>
      <w:r/>
    </w:p>
    <w:p>
      <w:pPr>
        <w:pStyle w:val="480"/>
        <w:ind w:left="284"/>
      </w:pPr>
      <w:r/>
      <w:r/>
    </w:p>
    <w:p>
      <w:pPr>
        <w:pStyle w:val="480"/>
        <w:numPr>
          <w:ilvl w:val="0"/>
          <w:numId w:val="39"/>
        </w:numPr>
      </w:pPr>
      <w:r>
        <w:rPr>
          <w:b/>
        </w:rPr>
        <w:t xml:space="preserve">La organización solicita el certificado a la entidad de certificación</w:t>
      </w:r>
      <w:r>
        <w:t xml:space="preserve"> (en este caso AENOR), indicando la referencia de la evaluación realizada por el laboratorio acreditado.</w:t>
      </w:r>
      <w:r/>
    </w:p>
    <w:p>
      <w:pPr>
        <w:pStyle w:val="480"/>
        <w:ind w:left="284"/>
      </w:pPr>
      <w:r/>
      <w:r/>
    </w:p>
    <w:p>
      <w:pPr>
        <w:pStyle w:val="480"/>
        <w:numPr>
          <w:ilvl w:val="0"/>
          <w:numId w:val="39"/>
        </w:numPr>
      </w:pPr>
      <w:r>
        <w:rPr>
          <w:b/>
        </w:rPr>
        <w:t xml:space="preserve">La entidad de certificación solicita el resultado de la evaluación</w:t>
      </w:r>
      <w:r>
        <w:t xml:space="preserve"> al laboratorio</w:t>
      </w:r>
      <w:r>
        <w:t xml:space="preserve">.</w:t>
      </w:r>
      <w:r/>
    </w:p>
    <w:p>
      <w:pPr>
        <w:pStyle w:val="480"/>
        <w:ind w:left="284"/>
      </w:pPr>
      <w:r/>
      <w:r/>
    </w:p>
    <w:p>
      <w:pPr>
        <w:pStyle w:val="480"/>
        <w:numPr>
          <w:ilvl w:val="0"/>
          <w:numId w:val="39"/>
        </w:numPr>
      </w:pPr>
      <w:r>
        <w:rPr>
          <w:b/>
        </w:rPr>
        <w:t xml:space="preserve">El laboratorio proporciona la información</w:t>
      </w:r>
      <w:r>
        <w:t xml:space="preserve"> a la entidad de certificación.</w:t>
      </w:r>
      <w:r/>
    </w:p>
    <w:p>
      <w:pPr>
        <w:pStyle w:val="480"/>
        <w:ind w:left="284"/>
      </w:pPr>
      <w:r/>
      <w:r/>
    </w:p>
    <w:p>
      <w:pPr>
        <w:pStyle w:val="480"/>
        <w:numPr>
          <w:ilvl w:val="0"/>
          <w:numId w:val="39"/>
        </w:numPr>
      </w:pPr>
      <w:r>
        <w:rPr>
          <w:b/>
        </w:rPr>
        <w:t xml:space="preserve">Finalmente, la organización certificadora visita al solicitante</w:t>
      </w:r>
      <w:r>
        <w:t xml:space="preserve"> para comprobar el producto y sus características, y emite un informe junto con el certificado que reconoce la calidad del producto evaluado.</w:t>
      </w:r>
      <w:r/>
    </w:p>
    <w:p>
      <w:pPr>
        <w:pStyle w:val="480"/>
        <w:ind w:left="284"/>
      </w:pPr>
      <w:r/>
      <w:r/>
    </w:p>
    <w:p>
      <w:r>
        <w:t xml:space="preserve">Dentro del ecosistema que se representa en la </w:t>
      </w:r>
      <w:r>
        <w:t xml:space="preserve">f</w:t>
      </w:r>
      <w:r>
        <w:t xml:space="preserve">igura 13, merece destacar la importancia de los </w:t>
      </w:r>
      <w:r>
        <w:rPr>
          <w:b/>
        </w:rPr>
        <w:t xml:space="preserve">consultores de calidad</w:t>
      </w:r>
      <w:r>
        <w:t xml:space="preserve">, que ayudan a las empresas en la mejora de sus productos para poder superar un proceso de certificación, y las compañías que desarrollan las herramientas que permiten realizar las mediciones necesarias. </w:t>
      </w:r>
      <w:r/>
    </w:p>
    <w:p>
      <w:r/>
      <w:r/>
    </w:p>
    <w:p>
      <w:r>
        <w:t xml:space="preserve">En este contexto podemos señalar las </w:t>
      </w:r>
      <w:r>
        <w:rPr>
          <w:b/>
        </w:rPr>
        <w:t xml:space="preserve">herramientas desarrolladas</w:t>
      </w:r>
      <w:r>
        <w:t xml:space="preserve"> por </w:t>
      </w:r>
      <w:r>
        <w:rPr>
          <w:b/>
        </w:rPr>
        <w:t xml:space="preserve">Kiuwan</w:t>
      </w:r>
      <w:r>
        <w:rPr>
          <w:b/>
        </w:rPr>
        <w:t xml:space="preserve"> </w:t>
      </w:r>
      <w:r>
        <w:t xml:space="preserve">(</w:t>
      </w:r>
      <w:r>
        <w:t xml:space="preserve">Kiuwann</w:t>
      </w:r>
      <w:r>
        <w:t xml:space="preserve">, 2018) o </w:t>
      </w:r>
      <w:r>
        <w:rPr>
          <w:b/>
        </w:rPr>
        <w:t xml:space="preserve">SonarQube </w:t>
      </w:r>
      <w:r>
        <w:t xml:space="preserve">(SonarQube, 2018).</w:t>
      </w:r>
      <w:r/>
    </w:p>
    <w:p>
      <w:pPr>
        <w:tabs>
          <w:tab w:val="left" w:pos="1047" w:leader="none"/>
        </w:tabs>
      </w:pPr>
      <w:r>
        <w:tab/>
      </w:r>
      <w:r/>
    </w:p>
    <w:p>
      <w:pPr>
        <w:jc w:val="center"/>
        <w:tabs>
          <w:tab w:val="left" w:pos="1047" w:leader="none"/>
        </w:tabs>
      </w:pPr>
      <w:r>
        <mc:AlternateContent>
          <mc:Choice Requires="wpg">
            <w:drawing>
              <wp:inline xmlns:wp="http://schemas.openxmlformats.org/drawingml/2006/wordprocessingDrawing" distT="0" distB="0" distL="0" distR="0">
                <wp:extent cx="3236708" cy="2115137"/>
                <wp:effectExtent l="0" t="0" r="1905" b="0"/>
                <wp:docPr id="38" name="Imagen 5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g11.png" hidden="0"/>
                        <pic:cNvPicPr>
                          <a:picLocks noChangeAspect="1"/>
                        </pic:cNvPicPr>
                      </pic:nvPicPr>
                      <pic:blipFill>
                        <a:blip r:embed="rId29"/>
                        <a:stretch/>
                      </pic:blipFill>
                      <pic:spPr bwMode="auto">
                        <a:xfrm>
                          <a:off x="0" y="0"/>
                          <a:ext cx="3236708" cy="21151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54.9pt;height:166.5pt;" stroked="false">
                <v:path textboxrect="0,0,0,0"/>
                <v:imagedata r:id="rId29" o:title=""/>
              </v:shape>
            </w:pict>
          </mc:Fallback>
        </mc:AlternateContent>
      </w:r>
      <w:r/>
    </w:p>
    <w:p>
      <w:pPr>
        <w:pStyle w:val="478"/>
      </w:pPr>
      <w:r/>
      <w:bookmarkStart w:id="29" w:name="_Ref528346162"/>
      <w:r>
        <w:t xml:space="preserve">Figura </w:t>
      </w:r>
      <w:r>
        <w:fldChar w:fldCharType="begin"/>
      </w:r>
      <w:r>
        <w:instrText xml:space="preserve"> SEQ Figura \* ARABIC </w:instrText>
      </w:r>
      <w:r>
        <w:fldChar w:fldCharType="separate"/>
      </w:r>
      <w:r>
        <w:t xml:space="preserve">13</w:t>
      </w:r>
      <w:r>
        <w:fldChar w:fldCharType="end"/>
      </w:r>
      <w:bookmarkEnd w:id="29"/>
      <w:r>
        <w:t xml:space="preserve">. Ecosistema de la evaluación y certificación del producto software.</w:t>
      </w:r>
      <w:r>
        <w:t xml:space="preserve"> </w:t>
      </w:r>
      <w:r>
        <w:t xml:space="preserve">Fuente: </w:t>
      </w:r>
      <w:r>
        <w:t xml:space="preserve">ISO25000.com (2018c)</w:t>
      </w:r>
      <w:r/>
    </w:p>
    <w:p>
      <w:pPr>
        <w:jc w:val="center"/>
        <w:tabs>
          <w:tab w:val="left" w:pos="1047" w:leader="none"/>
        </w:tabs>
        <w:rPr>
          <w:rFonts w:cs="UnitOT-Light"/>
          <w:iCs/>
          <w:color w:val="595959"/>
          <w:sz w:val="19"/>
          <w:szCs w:val="18"/>
        </w:rPr>
      </w:pPr>
      <w:r>
        <w:rPr>
          <w:rFonts w:cs="UnitOT-Light"/>
          <w:iCs/>
          <w:color w:val="595959"/>
          <w:sz w:val="19"/>
          <w:szCs w:val="18"/>
        </w:rPr>
      </w:r>
      <w:r/>
    </w:p>
    <w:p>
      <w:r>
        <w:t xml:space="preserve">En el caso concreto del laboratorio de evaluación </w:t>
      </w:r>
      <w:r>
        <w:rPr>
          <w:b/>
        </w:rPr>
        <w:t xml:space="preserve">AQC </w:t>
      </w:r>
      <w:r>
        <w:rPr>
          <w:b/>
        </w:rPr>
        <w:t xml:space="preserve">Lab</w:t>
      </w:r>
      <w:r>
        <w:rPr>
          <w:b/>
        </w:rPr>
        <w:t xml:space="preserve"> </w:t>
      </w:r>
      <w:r>
        <w:t xml:space="preserve">(Alarcos </w:t>
      </w:r>
      <w:r>
        <w:t xml:space="preserve">Quality</w:t>
      </w:r>
      <w:r>
        <w:t xml:space="preserve"> Center) se utilizan </w:t>
      </w:r>
      <w:r>
        <w:rPr>
          <w:b/>
        </w:rPr>
        <w:t xml:space="preserve">tres elementos para realizar las evaluaciones de calidad</w:t>
      </w:r>
      <w:r>
        <w:t xml:space="preserve"> (Rodríguez &amp; </w:t>
      </w:r>
      <w:r>
        <w:t xml:space="preserve">Piattini</w:t>
      </w:r>
      <w:r>
        <w:t xml:space="preserve">, 2014):</w:t>
      </w:r>
      <w:r/>
    </w:p>
    <w:p>
      <w:r/>
      <w:r/>
    </w:p>
    <w:p>
      <w:pPr>
        <w:pStyle w:val="480"/>
        <w:numPr>
          <w:ilvl w:val="0"/>
          <w:numId w:val="40"/>
        </w:numPr>
      </w:pPr>
      <w:r>
        <w:rPr>
          <w:b/>
        </w:rPr>
        <w:t xml:space="preserve">El proceso de evaluación</w:t>
      </w:r>
      <w:r>
        <w:t xml:space="preserve">, que adopta las actividades definidas en ISO/IEC 25040 y las completa con roles y actividades desarrolladas internamente. Este proceso ofrece como resultado un informe que indica el ni</w:t>
      </w:r>
      <w:r>
        <w:t xml:space="preserve">v</w:t>
      </w:r>
      <w:r>
        <w:t xml:space="preserve">el de calidad alcanzado por el </w:t>
      </w:r>
      <w:r>
        <w:t xml:space="preserve">producto en cuanto a su mantenibilidad, su adecuación funcional, o la calidad de los datos.</w:t>
      </w:r>
      <w:r/>
    </w:p>
    <w:p>
      <w:pPr>
        <w:pStyle w:val="480"/>
        <w:ind w:left="284"/>
      </w:pPr>
      <w:r/>
      <w:r/>
    </w:p>
    <w:p>
      <w:pPr>
        <w:pStyle w:val="480"/>
        <w:numPr>
          <w:ilvl w:val="0"/>
          <w:numId w:val="40"/>
        </w:numPr>
      </w:pPr>
      <w:r>
        <w:rPr>
          <w:b/>
        </w:rPr>
        <w:t xml:space="preserve">El modelo de calidad</w:t>
      </w:r>
      <w:r>
        <w:t xml:space="preserve">,</w:t>
      </w:r>
      <w:r>
        <w:t xml:space="preserve"> que define las características y métricas necesarias para evaluar el producto. Aunque </w:t>
      </w:r>
      <w:r>
        <w:t xml:space="preserve">se evalúan muchas de las características presentadas en ISO/IEC 25010, el proceso se centra inicialmente en la mantenibilidad, al ser la fase de mantenimiento la más cara del ciclo de vida y ser esta una de las evaluaciones más demandadas por los clientes.</w:t>
      </w:r>
      <w:r/>
    </w:p>
    <w:p>
      <w:pPr>
        <w:pStyle w:val="480"/>
        <w:ind w:left="284"/>
      </w:pPr>
      <w:r/>
      <w:r/>
    </w:p>
    <w:p>
      <w:pPr>
        <w:pStyle w:val="480"/>
        <w:numPr>
          <w:ilvl w:val="0"/>
          <w:numId w:val="40"/>
        </w:numPr>
      </w:pPr>
      <w:r>
        <w:rPr>
          <w:b/>
        </w:rPr>
        <w:t xml:space="preserve">El entorno de evaluación</w:t>
      </w:r>
      <w:r>
        <w:t xml:space="preserve">,</w:t>
      </w:r>
      <w:r>
        <w:rPr>
          <w:b/>
        </w:rPr>
        <w:t xml:space="preserve"> </w:t>
      </w:r>
      <w:r>
        <w:t xml:space="preserve">que permite automatizar en gran medida la evaluación. Utiliza herramientas que obtienen información del producto, combinan los valores obtenidos y finalmente presentan la información de una manera accesible.</w:t>
      </w:r>
      <w:r/>
    </w:p>
    <w:p>
      <w:r/>
      <w:r/>
    </w:p>
    <w:p>
      <w:r>
        <w:t xml:space="preserve">El proceso de evaluación y certificación de la calidad de los datos es muy similar al anteriormente descrito para la calidad del producto software (Caballero, Rodríguez, &amp; Fernández, 2017).</w:t>
      </w:r>
      <w:r/>
    </w:p>
    <w:p>
      <w:r/>
      <w:r/>
    </w:p>
    <w:p>
      <w:r/>
      <w:r/>
    </w:p>
    <w:p>
      <w:pPr>
        <w:pStyle w:val="488"/>
      </w:pPr>
      <w:r/>
      <w:bookmarkStart w:id="30" w:name="_Toc535214631"/>
      <w:r>
        <w:t xml:space="preserve">10.11. Referencias bibliográficas</w:t>
      </w:r>
      <w:bookmarkEnd w:id="30"/>
      <w:r/>
      <w:r/>
    </w:p>
    <w:p>
      <w:r/>
      <w:r/>
    </w:p>
    <w:p>
      <w:r>
        <w:t xml:space="preserve">AENOR. (2018a). El Certificado AENOR de Calidad del Producto Software ISO 25000. Recuperado de </w:t>
      </w:r>
      <w:hyperlink r:id="rId30" w:history="1">
        <w:r>
          <w:rPr>
            <w:rStyle w:val="475"/>
          </w:rPr>
          <w:t xml:space="preserve">https://www.aenor.com/asociacindocumentos/info-apoyo/calidad/17-%20Ventajas%20del%20certificado%20IS0%2025000%20jun-18.pdf</w:t>
        </w:r>
      </w:hyperlink>
      <w:r/>
      <w:r/>
    </w:p>
    <w:p>
      <w:r/>
      <w:r/>
    </w:p>
    <w:p>
      <w:r>
        <w:t xml:space="preserve">AENOR. (2018b). Sistemas de Gestión de la Calidad del Producto Software ISO 25000. Recuperado de </w:t>
      </w:r>
      <w:hyperlink r:id="rId31" w:history="1">
        <w:r>
          <w:rPr>
            <w:rStyle w:val="475"/>
          </w:rPr>
          <w:t xml:space="preserve">https://www.aenor.com/certificacion/tecnologias-de-la-informacion/producto-software</w:t>
        </w:r>
      </w:hyperlink>
      <w:r/>
      <w:r/>
    </w:p>
    <w:p>
      <w:r/>
      <w:r/>
    </w:p>
    <w:p>
      <w:r>
        <w:rPr>
          <w:lang w:val="en-US"/>
        </w:rPr>
        <w:t xml:space="preserve">Bloom, J. (2011). Titanic Dilemma: The Seen Versus the Unseen</w:t>
      </w:r>
      <w:r>
        <w:rPr>
          <w:lang w:val="en-US"/>
        </w:rPr>
        <w:t xml:space="preserve"> [</w:t>
      </w:r>
      <w:r>
        <w:rPr>
          <w:lang w:val="en-US"/>
        </w:rPr>
        <w:t xml:space="preserve">Artículo</w:t>
      </w:r>
      <w:r>
        <w:rPr>
          <w:lang w:val="en-US"/>
        </w:rPr>
        <w:t xml:space="preserve"> web]</w:t>
      </w:r>
      <w:r>
        <w:rPr>
          <w:lang w:val="en-US"/>
        </w:rPr>
        <w:t xml:space="preserve">. </w:t>
      </w:r>
      <w:r>
        <w:t xml:space="preserve">Recuperado de </w:t>
      </w:r>
      <w:hyperlink r:id="rId32" w:history="1">
        <w:r>
          <w:rPr>
            <w:rStyle w:val="475"/>
          </w:rPr>
          <w:t xml:space="preserve">https://www.castsoftware.com/blog/titanic-dilemma-the-seen-versus-the-unseen</w:t>
        </w:r>
      </w:hyperlink>
      <w:r/>
      <w:r/>
    </w:p>
    <w:p>
      <w:r/>
      <w:r/>
    </w:p>
    <w:p>
      <w:pPr>
        <w:rPr>
          <w:lang w:val="en-US"/>
        </w:rPr>
      </w:pPr>
      <w:r>
        <w:rPr>
          <w:lang w:val="en-US"/>
        </w:rPr>
        <w:t xml:space="preserve">Boehm, B. W. (1978). </w:t>
      </w:r>
      <w:r>
        <w:rPr>
          <w:i/>
          <w:lang w:val="en-US"/>
        </w:rPr>
        <w:t xml:space="preserve">Characteristics of software quality</w:t>
      </w:r>
      <w:r>
        <w:rPr>
          <w:lang w:val="en-US"/>
        </w:rPr>
        <w:t xml:space="preserve">. </w:t>
      </w:r>
      <w:r>
        <w:rPr>
          <w:lang w:val="en-US"/>
        </w:rPr>
        <w:t xml:space="preserve">Amsterdam: </w:t>
      </w:r>
      <w:r>
        <w:rPr>
          <w:lang w:val="en-US"/>
        </w:rPr>
        <w:t xml:space="preserve">North-Holland Pub. Co.</w:t>
      </w:r>
      <w:r/>
    </w:p>
    <w:p>
      <w:pPr>
        <w:rPr>
          <w:lang w:val="en-US"/>
        </w:rPr>
      </w:pPr>
      <w:r>
        <w:rPr>
          <w:lang w:val="en-US"/>
        </w:rPr>
      </w:r>
      <w:r/>
    </w:p>
    <w:p>
      <w:r>
        <w:t xml:space="preserve">Caballero, I., Rodríguez, M. </w:t>
      </w:r>
      <w:r>
        <w:t xml:space="preserve">y</w:t>
      </w:r>
      <w:r>
        <w:t xml:space="preserve"> Fernández, C. M. (2017). Calidad de datos digitales certificada. </w:t>
      </w:r>
      <w:r>
        <w:rPr>
          <w:i/>
        </w:rPr>
        <w:t xml:space="preserve">AENOR: Revista de la normalización y la certificación</w:t>
      </w:r>
      <w:r>
        <w:t xml:space="preserve">, 331, 36-39.</w:t>
      </w:r>
      <w:r/>
    </w:p>
    <w:p>
      <w:r/>
      <w:r/>
    </w:p>
    <w:p>
      <w:r>
        <w:t xml:space="preserve">Calero, C., </w:t>
      </w:r>
      <w:r>
        <w:t xml:space="preserve">Piattini</w:t>
      </w:r>
      <w:r>
        <w:t xml:space="preserve">, M. G.</w:t>
      </w:r>
      <w:r>
        <w:t xml:space="preserve"> y</w:t>
      </w:r>
      <w:r>
        <w:t xml:space="preserve"> Moraga, M. Á. (2010). </w:t>
      </w:r>
      <w:r>
        <w:rPr>
          <w:i/>
        </w:rPr>
        <w:t xml:space="preserve">Calidad del producto y proceso software</w:t>
      </w:r>
      <w:r>
        <w:t xml:space="preserve">. </w:t>
      </w:r>
      <w:r>
        <w:t xml:space="preserve">Madrid: </w:t>
      </w:r>
      <w:r>
        <w:t xml:space="preserve">Editorial Ra-Ma.</w:t>
      </w:r>
      <w:r/>
    </w:p>
    <w:p>
      <w:r/>
      <w:r/>
    </w:p>
    <w:p>
      <w:pPr>
        <w:rPr>
          <w:lang w:val="en-US"/>
        </w:rPr>
      </w:pPr>
      <w:r>
        <w:t xml:space="preserve">Callejas-Cuervo, M., Alarcón-Aldana, A. C.</w:t>
      </w:r>
      <w:r>
        <w:t xml:space="preserve"> y</w:t>
      </w:r>
      <w:r>
        <w:t xml:space="preserve"> Álvarez-Carreño, A. M. (2017). Modelos de calidad del software, un estado del arte. </w:t>
      </w:r>
      <w:r>
        <w:rPr>
          <w:i/>
        </w:rPr>
        <w:t xml:space="preserve">Entramado, 13</w:t>
      </w:r>
      <w:r>
        <w:t xml:space="preserve">(1), 236-250. </w:t>
      </w:r>
      <w:hyperlink r:id="rId33" w:history="1">
        <w:r>
          <w:rPr>
            <w:rStyle w:val="475"/>
            <w:lang w:val="en-US"/>
          </w:rPr>
          <w:t xml:space="preserve">https://doi.org/10.18041/entramado.2017v13n1.25125</w:t>
        </w:r>
      </w:hyperlink>
      <w:r/>
      <w:r/>
    </w:p>
    <w:p>
      <w:pPr>
        <w:rPr>
          <w:lang w:val="en-US"/>
        </w:rPr>
      </w:pPr>
      <w:r>
        <w:rPr>
          <w:lang w:val="en-US"/>
        </w:rPr>
      </w:r>
      <w:r/>
    </w:p>
    <w:p>
      <w:r>
        <w:rPr>
          <w:lang w:val="en-US"/>
        </w:rPr>
        <w:t xml:space="preserve">CISQ. (2018). Consortium for IT Software Quality</w:t>
      </w:r>
      <w:r>
        <w:rPr>
          <w:lang w:val="en-US"/>
        </w:rPr>
        <w:t xml:space="preserve"> [Web]</w:t>
      </w:r>
      <w:r>
        <w:rPr>
          <w:lang w:val="en-US"/>
        </w:rPr>
        <w:t xml:space="preserve">. </w:t>
      </w:r>
      <w:r>
        <w:t xml:space="preserve">Recuperado de 2018, de </w:t>
      </w:r>
      <w:hyperlink r:id="rId34" w:history="1">
        <w:r>
          <w:rPr>
            <w:rStyle w:val="475"/>
          </w:rPr>
          <w:t xml:space="preserve">https://it-cisq.org/</w:t>
        </w:r>
      </w:hyperlink>
      <w:r/>
      <w:r/>
    </w:p>
    <w:p>
      <w:r/>
      <w:r/>
    </w:p>
    <w:p>
      <w:r>
        <w:t xml:space="preserve">Fernández, C. M., Rodríguez, M.</w:t>
      </w:r>
      <w:r>
        <w:t xml:space="preserve"> y </w:t>
      </w:r>
      <w:r>
        <w:t xml:space="preserve">Piattini</w:t>
      </w:r>
      <w:r>
        <w:t xml:space="preserve">, M. (2013). ISO/IEC 25000: Calidad del producto software. </w:t>
      </w:r>
      <w:r>
        <w:rPr>
          <w:i/>
        </w:rPr>
        <w:t xml:space="preserve">AENOR: Revista de la normalización y la certificación</w:t>
      </w:r>
      <w:r>
        <w:t xml:space="preserve">, 288, 30-35.</w:t>
      </w:r>
      <w:r/>
    </w:p>
    <w:p>
      <w:r/>
      <w:r/>
    </w:p>
    <w:p>
      <w:r>
        <w:t xml:space="preserve">Garzás</w:t>
      </w:r>
      <w:r>
        <w:t xml:space="preserve">, J. (2013, noviembre 7). El otro estándar de calidad del producto software, el CISQ</w:t>
      </w:r>
      <w:r>
        <w:t xml:space="preserve"> [Blog]</w:t>
      </w:r>
      <w:r>
        <w:t xml:space="preserve">. Recuperado de </w:t>
      </w:r>
      <w:hyperlink r:id="rId35" w:history="1">
        <w:r>
          <w:rPr>
            <w:rStyle w:val="475"/>
          </w:rPr>
          <w:t xml:space="preserve">http://www.javiergarzas.com/2013/11/estandar-de-calidad-del-producto-software-cisq.html</w:t>
        </w:r>
      </w:hyperlink>
      <w:r/>
      <w:r/>
    </w:p>
    <w:p>
      <w:r/>
      <w:r/>
    </w:p>
    <w:p>
      <w:pPr>
        <w:rPr>
          <w:lang w:val="en-US"/>
        </w:rPr>
      </w:pPr>
      <w:r>
        <w:rPr>
          <w:lang w:val="en-US"/>
        </w:rPr>
        <w:t xml:space="preserve">Grady, R. B., &amp; Caswell, D. L. (1987). </w:t>
      </w:r>
      <w:r>
        <w:rPr>
          <w:i/>
          <w:lang w:val="en-US"/>
        </w:rPr>
        <w:t xml:space="preserve">Software Metrics: Establishing a Company-Wide Program</w:t>
      </w:r>
      <w:r>
        <w:rPr>
          <w:lang w:val="en-US"/>
        </w:rPr>
        <w:t xml:space="preserve"> (1st Ed.). Englewood Cliffs, N.J: Prentice Hall.</w:t>
      </w:r>
      <w:r/>
    </w:p>
    <w:p>
      <w:pPr>
        <w:rPr>
          <w:lang w:val="en-US"/>
        </w:rPr>
      </w:pPr>
      <w:r>
        <w:rPr>
          <w:lang w:val="en-US"/>
        </w:rPr>
      </w:r>
      <w:r/>
    </w:p>
    <w:p>
      <w:pPr>
        <w:rPr>
          <w:lang w:val="en-US"/>
        </w:rPr>
      </w:pPr>
      <w:r>
        <w:rPr>
          <w:lang w:val="en-US"/>
        </w:rPr>
        <w:t xml:space="preserve">ISO. (2006). ISO/IEC 25062:2006 - </w:t>
      </w:r>
      <w:r>
        <w:rPr>
          <w:lang w:val="en-US"/>
        </w:rPr>
        <w:t xml:space="preserve">SQuaRE</w:t>
      </w:r>
      <w:r>
        <w:rPr>
          <w:lang w:val="en-US"/>
        </w:rPr>
        <w:t xml:space="preserve">: Common Industry Format (CIF) for usability test reports. </w:t>
      </w:r>
      <w:r>
        <w:rPr>
          <w:lang w:val="en-US"/>
        </w:rPr>
        <w:t xml:space="preserve">Recuperado</w:t>
      </w:r>
      <w:r>
        <w:rPr>
          <w:lang w:val="en-US"/>
        </w:rPr>
        <w:t xml:space="preserve"> de </w:t>
      </w:r>
      <w:hyperlink r:id="rId36" w:history="1">
        <w:r>
          <w:rPr>
            <w:rStyle w:val="475"/>
            <w:lang w:val="en-US"/>
          </w:rPr>
          <w:t xml:space="preserve">https://www.iso.org/standard/43046.html</w:t>
        </w:r>
      </w:hyperlink>
      <w:r/>
      <w:r/>
    </w:p>
    <w:p>
      <w:r>
        <w:rPr>
          <w:lang w:val="en-US"/>
        </w:rPr>
        <w:t xml:space="preserve">ISO. (2007). ISO/IEC 25020:2007 - </w:t>
      </w:r>
      <w:r>
        <w:rPr>
          <w:lang w:val="en-US"/>
        </w:rPr>
        <w:t xml:space="preserve">SQuaRE</w:t>
      </w:r>
      <w:r>
        <w:rPr>
          <w:lang w:val="en-US"/>
        </w:rPr>
        <w:t xml:space="preserve">: Measurement reference model and guide. </w:t>
      </w:r>
      <w:r>
        <w:t xml:space="preserve">Recuperado de </w:t>
      </w:r>
      <w:hyperlink r:id="rId37" w:history="1">
        <w:r>
          <w:rPr>
            <w:rStyle w:val="475"/>
          </w:rPr>
          <w:t xml:space="preserve">https://www.iso.org/standard/35744.html</w:t>
        </w:r>
      </w:hyperlink>
      <w:r/>
      <w:r/>
    </w:p>
    <w:p>
      <w:r/>
      <w:r/>
    </w:p>
    <w:p>
      <w:pPr>
        <w:rPr>
          <w:rStyle w:val="475"/>
        </w:rPr>
      </w:pPr>
      <w:r>
        <w:t xml:space="preserve">ISO. (2008). ISO/IEC 25012:2008 - </w:t>
      </w:r>
      <w:r>
        <w:t xml:space="preserve">SQuaRE</w:t>
      </w:r>
      <w:r>
        <w:t xml:space="preserve">: Data </w:t>
      </w:r>
      <w:r>
        <w:t xml:space="preserve">quality</w:t>
      </w:r>
      <w:r>
        <w:t xml:space="preserve"> </w:t>
      </w:r>
      <w:r>
        <w:t xml:space="preserve">model</w:t>
      </w:r>
      <w:r>
        <w:t xml:space="preserve">. </w:t>
      </w:r>
      <w:r>
        <w:t xml:space="preserve">Recuperado de </w:t>
      </w:r>
      <w:hyperlink r:id="rId38" w:history="1">
        <w:r>
          <w:rPr>
            <w:rStyle w:val="475"/>
          </w:rPr>
          <w:t xml:space="preserve">https://www.iso.org/standard/35736.html</w:t>
        </w:r>
      </w:hyperlink>
      <w:r/>
      <w:r/>
    </w:p>
    <w:p>
      <w:r/>
      <w:r/>
    </w:p>
    <w:p>
      <w:r>
        <w:rPr>
          <w:lang w:val="en-US"/>
        </w:rPr>
        <w:t xml:space="preserve">ISO. (2011). ISO/IEC 25010:2011 - </w:t>
      </w:r>
      <w:r>
        <w:rPr>
          <w:lang w:val="en-US"/>
        </w:rPr>
        <w:t xml:space="preserve">SQuaRE</w:t>
      </w:r>
      <w:r>
        <w:rPr>
          <w:lang w:val="en-US"/>
        </w:rPr>
        <w:t xml:space="preserve">: System and software quality models. </w:t>
      </w:r>
      <w:r>
        <w:t xml:space="preserve">Recuperado</w:t>
      </w:r>
      <w:r>
        <w:t xml:space="preserve"> </w:t>
      </w:r>
      <w:r>
        <w:t xml:space="preserve">de </w:t>
      </w:r>
      <w:hyperlink r:id="rId39" w:history="1">
        <w:r>
          <w:rPr>
            <w:rStyle w:val="475"/>
          </w:rPr>
          <w:t xml:space="preserve">https://www.iso.org/standard/35733.html</w:t>
        </w:r>
      </w:hyperlink>
      <w:r/>
      <w:r/>
    </w:p>
    <w:p>
      <w:r/>
      <w:r/>
    </w:p>
    <w:p>
      <w:r>
        <w:t xml:space="preserve">ISO. (2014a). </w:t>
      </w:r>
      <w:r>
        <w:rPr>
          <w:lang w:val="en-US"/>
        </w:rPr>
        <w:t xml:space="preserve">ISO/IEC 25000:2014 - </w:t>
      </w:r>
      <w:r>
        <w:rPr>
          <w:lang w:val="en-US"/>
        </w:rPr>
        <w:t xml:space="preserve">SQuaRE</w:t>
      </w:r>
      <w:r>
        <w:rPr>
          <w:lang w:val="en-US"/>
        </w:rPr>
        <w:t xml:space="preserve">: Guide to </w:t>
      </w:r>
      <w:r>
        <w:rPr>
          <w:lang w:val="en-US"/>
        </w:rPr>
        <w:t xml:space="preserve">SQuaRE</w:t>
      </w:r>
      <w:r>
        <w:rPr>
          <w:lang w:val="en-US"/>
        </w:rPr>
        <w:t xml:space="preserve">. </w:t>
      </w:r>
      <w:r>
        <w:t xml:space="preserve">Recuperado de </w:t>
      </w:r>
      <w:hyperlink r:id="rId40" w:history="1">
        <w:r>
          <w:rPr>
            <w:rStyle w:val="475"/>
          </w:rPr>
          <w:t xml:space="preserve">https://www.iso.org/standard/64764.html</w:t>
        </w:r>
      </w:hyperlink>
      <w:r/>
      <w:r/>
    </w:p>
    <w:p>
      <w:r/>
      <w:r/>
    </w:p>
    <w:p>
      <w:pPr>
        <w:rPr>
          <w:lang w:val="en-US"/>
        </w:rPr>
      </w:pPr>
      <w:r>
        <w:rPr>
          <w:lang w:val="en-US"/>
        </w:rPr>
        <w:t xml:space="preserve">ISO. (2014b). ISO/IEC 25051:2014 - </w:t>
      </w:r>
      <w:r>
        <w:rPr>
          <w:lang w:val="en-US"/>
        </w:rPr>
        <w:t xml:space="preserve">SQuaRE</w:t>
      </w:r>
      <w:r>
        <w:rPr>
          <w:lang w:val="en-US"/>
        </w:rPr>
        <w:t xml:space="preserve">: Requirements for quality of Ready to Use Software Product (RUSP) and instructions for testing. </w:t>
      </w:r>
      <w:r>
        <w:rPr>
          <w:lang w:val="en-US"/>
        </w:rPr>
        <w:t xml:space="preserve">Recuperado</w:t>
      </w:r>
      <w:r>
        <w:rPr>
          <w:lang w:val="en-US"/>
        </w:rPr>
        <w:t xml:space="preserve"> </w:t>
      </w:r>
      <w:r>
        <w:rPr>
          <w:lang w:val="en-US"/>
        </w:rPr>
        <w:t xml:space="preserve">de </w:t>
      </w:r>
      <w:hyperlink r:id="rId41" w:history="1">
        <w:r>
          <w:rPr>
            <w:rStyle w:val="475"/>
            <w:lang w:val="en-US"/>
          </w:rPr>
          <w:t xml:space="preserve">https://www.iso.org/standard/61579.html</w:t>
        </w:r>
      </w:hyperlink>
      <w:r/>
      <w:r/>
    </w:p>
    <w:p>
      <w:pPr>
        <w:rPr>
          <w:lang w:val="en-US"/>
        </w:rPr>
      </w:pPr>
      <w:r>
        <w:rPr>
          <w:lang w:val="en-US"/>
        </w:rPr>
      </w:r>
      <w:r/>
    </w:p>
    <w:p>
      <w:r>
        <w:rPr>
          <w:lang w:val="en-US"/>
        </w:rPr>
        <w:t xml:space="preserve">ISO. (2015). ISO 9000:2015 - Quality management systems - Fundamentals and vocabulary. </w:t>
      </w:r>
      <w:r>
        <w:t xml:space="preserve">Recuperado de </w:t>
      </w:r>
      <w:hyperlink r:id="rId42" w:history="1">
        <w:r>
          <w:rPr>
            <w:rStyle w:val="475"/>
          </w:rPr>
          <w:t xml:space="preserve">https://www.iso.org/standard/45481.html</w:t>
        </w:r>
      </w:hyperlink>
      <w:r/>
      <w:r/>
    </w:p>
    <w:p>
      <w:r/>
      <w:r/>
    </w:p>
    <w:p>
      <w:r>
        <w:t xml:space="preserve">ISO. (2016a). </w:t>
      </w:r>
      <w:r>
        <w:rPr>
          <w:lang w:val="en-US"/>
        </w:rPr>
        <w:t xml:space="preserve">ISO/IEC 25022:2016 - </w:t>
      </w:r>
      <w:r>
        <w:rPr>
          <w:lang w:val="en-US"/>
        </w:rPr>
        <w:t xml:space="preserve">SQuaRE</w:t>
      </w:r>
      <w:r>
        <w:rPr>
          <w:lang w:val="en-US"/>
        </w:rPr>
        <w:t xml:space="preserve">: Measurement of quality in use. </w:t>
      </w:r>
      <w:r>
        <w:t xml:space="preserve">Recuperado de </w:t>
      </w:r>
      <w:hyperlink r:id="rId43" w:history="1">
        <w:r>
          <w:rPr>
            <w:rStyle w:val="475"/>
          </w:rPr>
          <w:t xml:space="preserve">https://www.iso.org/standard/35746.html</w:t>
        </w:r>
      </w:hyperlink>
      <w:r/>
      <w:r/>
    </w:p>
    <w:p>
      <w:r/>
      <w:r/>
    </w:p>
    <w:p>
      <w:r>
        <w:t xml:space="preserve">ISO. (2016b). </w:t>
      </w:r>
      <w:r>
        <w:rPr>
          <w:lang w:val="en-US"/>
        </w:rPr>
        <w:t xml:space="preserve">ISO/IEC 25023:2016 - </w:t>
      </w:r>
      <w:r>
        <w:rPr>
          <w:lang w:val="en-US"/>
        </w:rPr>
        <w:t xml:space="preserve">SQuaRE</w:t>
      </w:r>
      <w:r>
        <w:rPr>
          <w:lang w:val="en-US"/>
        </w:rPr>
        <w:t xml:space="preserve">: Measurement of system and software product quality. </w:t>
      </w:r>
      <w:r>
        <w:t xml:space="preserve">Recuperado de </w:t>
      </w:r>
      <w:hyperlink r:id="rId44" w:history="1">
        <w:r>
          <w:rPr>
            <w:rStyle w:val="475"/>
          </w:rPr>
          <w:t xml:space="preserve">https://www.iso.org/standard/35747.html</w:t>
        </w:r>
      </w:hyperlink>
      <w:r/>
      <w:r/>
    </w:p>
    <w:p>
      <w:r/>
      <w:r/>
    </w:p>
    <w:p>
      <w:r>
        <w:t xml:space="preserve">ISO. (2018). </w:t>
      </w:r>
      <w:r>
        <w:t xml:space="preserve">Standards</w:t>
      </w:r>
      <w:r>
        <w:t xml:space="preserve"> catalogue: 35.080 (Software). Recuperado de </w:t>
      </w:r>
      <w:hyperlink r:id="rId45" w:history="1">
        <w:r>
          <w:rPr>
            <w:rStyle w:val="475"/>
          </w:rPr>
          <w:t xml:space="preserve">https://www.iso.org/ics/35.080/x/</w:t>
        </w:r>
      </w:hyperlink>
      <w:r/>
      <w:r/>
    </w:p>
    <w:p>
      <w:r/>
      <w:r/>
    </w:p>
    <w:p>
      <w:r>
        <w:t xml:space="preserve">iso25000.com. (2018a). Portal ISO 25000. Recuperado</w:t>
      </w:r>
      <w:r>
        <w:t xml:space="preserve"> </w:t>
      </w:r>
      <w:r>
        <w:t xml:space="preserve">de </w:t>
      </w:r>
      <w:hyperlink r:id="rId46" w:history="1">
        <w:r>
          <w:rPr>
            <w:rStyle w:val="475"/>
          </w:rPr>
          <w:t xml:space="preserve">http://iso25000.com/</w:t>
        </w:r>
      </w:hyperlink>
      <w:r/>
      <w:r/>
    </w:p>
    <w:p>
      <w:r/>
      <w:r/>
    </w:p>
    <w:p>
      <w:r>
        <w:rPr>
          <w:lang w:val="en-US"/>
        </w:rPr>
        <w:t xml:space="preserve">iso25000.com. (2018b). Software Product Evaluation and Certification Process. </w:t>
      </w:r>
      <w:r>
        <w:t xml:space="preserve">Recuperado de </w:t>
      </w:r>
      <w:hyperlink r:id="rId47" w:history="1">
        <w:r>
          <w:rPr>
            <w:rStyle w:val="475"/>
          </w:rPr>
          <w:t xml:space="preserve">http://iso25000.com/index.php/en/product-evaluation/process</w:t>
        </w:r>
      </w:hyperlink>
      <w:r/>
      <w:r/>
    </w:p>
    <w:p>
      <w:r/>
      <w:bookmarkStart w:id="31" w:name="_GoBack"/>
      <w:r/>
      <w:bookmarkEnd w:id="31"/>
      <w:r>
        <w:rPr>
          <w:lang w:val="en-US"/>
        </w:rPr>
        <w:t xml:space="preserve">iso25000.com. (2018c). Software Product Quality Evaluation and Certification Ecosystem. </w:t>
      </w:r>
      <w:r>
        <w:t xml:space="preserve">Recuperado</w:t>
      </w:r>
      <w:r>
        <w:t xml:space="preserve"> </w:t>
      </w:r>
      <w:r>
        <w:t xml:space="preserve">de </w:t>
      </w:r>
      <w:hyperlink r:id="rId48" w:history="1">
        <w:r>
          <w:rPr>
            <w:rStyle w:val="475"/>
          </w:rPr>
          <w:t xml:space="preserve">http://iso25000.com/index.php/en/product-evaluation/ecosystem</w:t>
        </w:r>
      </w:hyperlink>
      <w:r/>
      <w:r/>
    </w:p>
    <w:p>
      <w:r/>
      <w:r/>
    </w:p>
    <w:p>
      <w:r/>
      <w:bookmarkStart w:id="32" w:name="_Hlk536599503"/>
      <w:r>
        <w:t xml:space="preserve">Kiuwann</w:t>
      </w:r>
      <w:r>
        <w:t xml:space="preserve">. (2018). Seguridad de Aplicaciones 360</w:t>
      </w:r>
      <w:r>
        <w:t xml:space="preserve">º [Web]</w:t>
      </w:r>
      <w:r>
        <w:t xml:space="preserve">. Recuperado de </w:t>
      </w:r>
      <w:hyperlink r:id="rId49" w:history="1">
        <w:r>
          <w:rPr>
            <w:rStyle w:val="475"/>
          </w:rPr>
          <w:t xml:space="preserve">https://www.kiuwan.com/es/</w:t>
        </w:r>
      </w:hyperlink>
      <w:r/>
      <w:bookmarkEnd w:id="32"/>
      <w:r/>
    </w:p>
    <w:p>
      <w:r/>
      <w:r/>
    </w:p>
    <w:p>
      <w:pPr>
        <w:rPr>
          <w:lang w:val="en-US"/>
        </w:rPr>
      </w:pPr>
      <w:r>
        <w:rPr>
          <w:lang w:val="en-US"/>
        </w:rPr>
        <w:t xml:space="preserve">Maibaum</w:t>
      </w:r>
      <w:r>
        <w:rPr>
          <w:lang w:val="en-US"/>
        </w:rPr>
        <w:t xml:space="preserve">, T., &amp; </w:t>
      </w:r>
      <w:r>
        <w:rPr>
          <w:lang w:val="en-US"/>
        </w:rPr>
        <w:t xml:space="preserve">Wassyng</w:t>
      </w:r>
      <w:r>
        <w:rPr>
          <w:lang w:val="en-US"/>
        </w:rPr>
        <w:t xml:space="preserve">, A. (2008). A Product-Focused Approach to Software Certification. </w:t>
      </w:r>
      <w:r>
        <w:rPr>
          <w:i/>
          <w:lang w:val="en-US"/>
        </w:rPr>
        <w:t xml:space="preserve">Computer, 41</w:t>
      </w:r>
      <w:r>
        <w:rPr>
          <w:lang w:val="en-US"/>
        </w:rPr>
        <w:t xml:space="preserve">(2), 91-93. </w:t>
      </w:r>
      <w:hyperlink r:id="rId50" w:history="1">
        <w:r>
          <w:rPr>
            <w:rStyle w:val="475"/>
            <w:lang w:val="en-US"/>
          </w:rPr>
          <w:t xml:space="preserve">https://doi.org/10.1109/MC.2008.37</w:t>
        </w:r>
      </w:hyperlink>
      <w:r/>
      <w:r/>
    </w:p>
    <w:p>
      <w:pPr>
        <w:rPr>
          <w:lang w:val="en-US"/>
        </w:rPr>
      </w:pPr>
      <w:r>
        <w:rPr>
          <w:lang w:val="en-US"/>
        </w:rPr>
      </w:r>
      <w:r/>
    </w:p>
    <w:p>
      <w:pPr>
        <w:rPr>
          <w:lang w:val="en-US"/>
        </w:rPr>
      </w:pPr>
      <w:r/>
      <w:bookmarkStart w:id="33" w:name="_Hlk536599519"/>
      <w:r>
        <w:rPr>
          <w:lang w:val="en-US"/>
        </w:rPr>
        <w:t xml:space="preserve">McCall, J. A., Richards, P. K. &amp; Walters, G. F. (1977a). </w:t>
      </w:r>
      <w:r>
        <w:rPr>
          <w:i/>
          <w:lang w:val="en-US"/>
        </w:rPr>
        <w:t xml:space="preserve">Factors in Software Quality. Volume 2. Metric Data Collection and Validation</w:t>
      </w:r>
      <w:r>
        <w:rPr>
          <w:lang w:val="en-US"/>
        </w:rPr>
        <w:t xml:space="preserve">.</w:t>
      </w:r>
      <w:r>
        <w:rPr>
          <w:lang w:val="en-US"/>
        </w:rPr>
        <w:t xml:space="preserve"> Fort Belvoir, VA: Defense Technical Information Center. </w:t>
      </w:r>
      <w:hyperlink r:id="rId51" w:history="1">
        <w:r>
          <w:rPr>
            <w:rStyle w:val="475"/>
            <w:lang w:val="en-US"/>
          </w:rPr>
          <w:t xml:space="preserve">https://doi.org/10.21236/ADA049015</w:t>
        </w:r>
      </w:hyperlink>
      <w:r/>
      <w:bookmarkEnd w:id="33"/>
      <w:r/>
    </w:p>
    <w:p>
      <w:pPr>
        <w:rPr>
          <w:lang w:val="en-US"/>
        </w:rPr>
      </w:pPr>
      <w:r>
        <w:rPr>
          <w:lang w:val="en-US"/>
        </w:rPr>
      </w:r>
      <w:r/>
    </w:p>
    <w:p>
      <w:pPr>
        <w:rPr>
          <w:lang w:val="en-US"/>
        </w:rPr>
      </w:pPr>
      <w:r/>
      <w:bookmarkStart w:id="34" w:name="_Hlk536599525"/>
      <w:r>
        <w:rPr>
          <w:lang w:val="en-US"/>
        </w:rPr>
        <w:t xml:space="preserve">McCall, J. A., Richards, P. K., &amp; Walters, G. F. (1977b). </w:t>
      </w:r>
      <w:r>
        <w:rPr>
          <w:i/>
          <w:lang w:val="en-US"/>
        </w:rPr>
        <w:t xml:space="preserve">Factors in Software Quality. Volume I. Concepts and Definitions of Software Quality</w:t>
      </w:r>
      <w:r>
        <w:rPr>
          <w:i/>
          <w:lang w:val="en-US"/>
        </w:rPr>
        <w:t xml:space="preserve">.</w:t>
      </w:r>
      <w:r>
        <w:rPr>
          <w:lang w:val="en-US"/>
        </w:rPr>
        <w:t xml:space="preserve"> Fort Belvoir, VA: Defense Technical Information Center. </w:t>
      </w:r>
      <w:hyperlink r:id="rId52" w:history="1">
        <w:r>
          <w:rPr>
            <w:rStyle w:val="475"/>
            <w:lang w:val="en-US"/>
          </w:rPr>
          <w:t xml:space="preserve">https://doi.org/10.21236/ADA049014</w:t>
        </w:r>
      </w:hyperlink>
      <w:r/>
      <w:bookmarkEnd w:id="34"/>
      <w:r/>
    </w:p>
    <w:p>
      <w:pPr>
        <w:rPr>
          <w:lang w:val="en-US"/>
        </w:rPr>
      </w:pPr>
      <w:r>
        <w:rPr>
          <w:lang w:val="en-US"/>
        </w:rPr>
      </w:r>
      <w:r/>
    </w:p>
    <w:p>
      <w:pPr>
        <w:rPr>
          <w:lang w:val="en-US"/>
        </w:rPr>
      </w:pPr>
      <w:r>
        <w:rPr>
          <w:lang w:val="en-US"/>
        </w:rPr>
        <w:t xml:space="preserve">McConnell, S. (1993). </w:t>
      </w:r>
      <w:r>
        <w:rPr>
          <w:i/>
          <w:lang w:val="en-US"/>
        </w:rPr>
        <w:t xml:space="preserve">Code complete</w:t>
      </w:r>
      <w:r>
        <w:rPr>
          <w:lang w:val="en-US"/>
        </w:rPr>
        <w:t xml:space="preserve"> (1st Ed.). Redmond, Wash: Microsoft Press.</w:t>
      </w:r>
      <w:r/>
    </w:p>
    <w:p>
      <w:pPr>
        <w:rPr>
          <w:lang w:val="en-US"/>
        </w:rPr>
      </w:pPr>
      <w:r>
        <w:rPr>
          <w:lang w:val="en-US"/>
        </w:rPr>
      </w:r>
      <w:r/>
    </w:p>
    <w:p>
      <w:r>
        <w:rPr>
          <w:lang w:val="en-US"/>
        </w:rPr>
        <w:t xml:space="preserve">RAE. (2018). </w:t>
      </w:r>
      <w:r>
        <w:t xml:space="preserve">Diccionario de la lengua española: definición de «calidad». Recuperado de </w:t>
      </w:r>
      <w:hyperlink r:id="rId53" w:history="1">
        <w:r>
          <w:rPr>
            <w:rStyle w:val="475"/>
          </w:rPr>
          <w:t xml:space="preserve">http://dle.rae.es/?w=calidad</w:t>
        </w:r>
      </w:hyperlink>
      <w:r/>
      <w:r/>
    </w:p>
    <w:p>
      <w:r/>
      <w:r/>
    </w:p>
    <w:p>
      <w:pPr>
        <w:rPr>
          <w:lang w:val="en-US"/>
        </w:rPr>
      </w:pPr>
      <w:r>
        <w:t xml:space="preserve">Rodríguez, M. &amp; </w:t>
      </w:r>
      <w:r>
        <w:t xml:space="preserve">Piattini</w:t>
      </w:r>
      <w:r>
        <w:t xml:space="preserve">, M. (2014). </w:t>
      </w:r>
      <w:r>
        <w:rPr>
          <w:lang w:val="en-US"/>
        </w:rPr>
        <w:t xml:space="preserve">Software Product Quality Evaluation Using ISO/IEC 25000. </w:t>
      </w:r>
      <w:r>
        <w:rPr>
          <w:i/>
          <w:lang w:val="en-US"/>
        </w:rPr>
        <w:t xml:space="preserve">ERCIM News</w:t>
      </w:r>
      <w:r>
        <w:rPr>
          <w:lang w:val="en-US"/>
        </w:rPr>
        <w:t xml:space="preserve">. </w:t>
      </w:r>
      <w:r>
        <w:rPr>
          <w:i/>
          <w:lang w:val="en-US"/>
        </w:rPr>
        <w:t xml:space="preserve">S</w:t>
      </w:r>
      <w:r>
        <w:rPr>
          <w:i/>
          <w:lang w:val="en-US"/>
        </w:rPr>
        <w:t xml:space="preserve">pe</w:t>
      </w:r>
      <w:r>
        <w:rPr>
          <w:i/>
          <w:lang w:val="en-US"/>
        </w:rPr>
        <w:t xml:space="preserve">cial theme: Software Quality</w:t>
      </w:r>
      <w:r>
        <w:rPr>
          <w:lang w:val="en-US"/>
        </w:rPr>
        <w:t xml:space="preserve">, 99, 39-40.</w:t>
      </w:r>
      <w:r/>
    </w:p>
    <w:p>
      <w:pPr>
        <w:rPr>
          <w:lang w:val="en-US"/>
        </w:rPr>
      </w:pPr>
      <w:r>
        <w:rPr>
          <w:lang w:val="en-US"/>
        </w:rPr>
      </w:r>
      <w:r/>
    </w:p>
    <w:p>
      <w:r>
        <w:rPr>
          <w:lang w:val="en-US"/>
        </w:rPr>
        <w:t xml:space="preserve">Solo, M. A., Casas, S.I. y Marcos, C.A. (2014). </w:t>
      </w:r>
      <w:r>
        <w:t xml:space="preserve">Comparación de modelos de calidad, factores y métricas en el ámbito de la ingeniería de software. </w:t>
      </w:r>
      <w:r>
        <w:t xml:space="preserve">Informe Científico Técnico UNPA</w:t>
      </w:r>
      <w:r>
        <w:t xml:space="preserve">, </w:t>
      </w:r>
      <w:r>
        <w:t xml:space="preserve">Vol. 6, </w:t>
      </w:r>
      <w:r>
        <w:t xml:space="preserve">Nº</w:t>
      </w:r>
      <w:r>
        <w:t xml:space="preserve">. 1, </w:t>
      </w:r>
      <w:r>
        <w:t xml:space="preserve">1–36. Recuperado de </w:t>
      </w:r>
      <w:hyperlink r:id="rId54" w:history="1">
        <w:r>
          <w:rPr>
            <w:rStyle w:val="475"/>
          </w:rPr>
          <w:t xml:space="preserve">https://dialnet.unirioja.es/descarga/articulo/5123569.pdf</w:t>
        </w:r>
      </w:hyperlink>
      <w:r/>
      <w:r/>
    </w:p>
    <w:p>
      <w:r/>
      <w:r/>
    </w:p>
    <w:p>
      <w:r/>
      <w:bookmarkStart w:id="35" w:name="_Hlk167002"/>
      <w:r>
        <w:t xml:space="preserve">SonarQube. (2018). </w:t>
      </w:r>
      <w:r>
        <w:t xml:space="preserve">Continuous</w:t>
      </w:r>
      <w:r>
        <w:t xml:space="preserve"> </w:t>
      </w:r>
      <w:r>
        <w:t xml:space="preserve">Inspection</w:t>
      </w:r>
      <w:r>
        <w:t xml:space="preserve"> [Web]</w:t>
      </w:r>
      <w:r>
        <w:t xml:space="preserve">. </w:t>
      </w:r>
      <w:r>
        <w:t xml:space="preserve">Recuperado de </w:t>
      </w:r>
      <w:hyperlink r:id="rId55" w:history="1">
        <w:r>
          <w:rPr>
            <w:rStyle w:val="475"/>
          </w:rPr>
          <w:t xml:space="preserve">https://www.sonarqube.org/</w:t>
        </w:r>
      </w:hyperlink>
      <w:r/>
      <w:bookmarkEnd w:id="35"/>
      <w:r/>
    </w:p>
    <w:p>
      <w:r/>
      <w:r/>
    </w:p>
    <w:p>
      <w:pPr>
        <w:rPr>
          <w:rStyle w:val="475"/>
        </w:rPr>
      </w:pPr>
      <w:r>
        <w:t xml:space="preserve">Subcomité7. (2016). NC ISO/IEC 25020:2016 </w:t>
      </w:r>
      <w:r>
        <w:t xml:space="preserve">SQuaRE</w:t>
      </w:r>
      <w:r>
        <w:t xml:space="preserve"> – Modelo de referencia y guía para las mediciones. Recuperado de </w:t>
      </w:r>
      <w:hyperlink w:tooltip="Current Document" w:anchor=".W9tN_npKjUJ" w:history="1">
        <w:r>
          <w:rPr>
            <w:rStyle w:val="475"/>
          </w:rPr>
          <w:t xml:space="preserve">https://subcomite7.cubava.cu/2016/07/11/nc-isoiec-250202016-square-modelo-de-referencia-y-guia-para-las-mediciones/#.W9tN_npKjUJ</w:t>
        </w:r>
      </w:hyperlink>
      <w:r/>
      <w:r/>
    </w:p>
    <w:p>
      <w:r/>
      <w:r/>
    </w:p>
    <w:p>
      <w:r>
        <w:rPr>
          <w:lang w:val="en-US"/>
        </w:rPr>
        <w:t xml:space="preserve">XBOSOFT. (2018). How to Start with Software Quality Metrics</w:t>
      </w:r>
      <w:r>
        <w:rPr>
          <w:lang w:val="en-US"/>
        </w:rPr>
        <w:t xml:space="preserve"> [Web]</w:t>
      </w:r>
      <w:r>
        <w:rPr>
          <w:lang w:val="en-US"/>
        </w:rPr>
        <w:t xml:space="preserve">. </w:t>
      </w:r>
      <w:r>
        <w:t xml:space="preserve">Recuperado de </w:t>
      </w:r>
      <w:hyperlink r:id="rId56" w:history="1">
        <w:r>
          <w:rPr>
            <w:rStyle w:val="475"/>
          </w:rPr>
          <w:t xml:space="preserve">https://xbosoft.com/software-quality-metrics/</w:t>
        </w:r>
      </w:hyperlink>
      <w:r/>
      <w:r/>
    </w:p>
    <w:p>
      <w:r/>
      <w:r/>
    </w:p>
    <w:p>
      <w:pPr>
        <w:rPr>
          <w:rFonts w:cs="UnitOT-Light"/>
          <w:iCs/>
          <w:color w:val="595959"/>
          <w:sz w:val="19"/>
          <w:szCs w:val="18"/>
        </w:rPr>
      </w:pPr>
      <w:r>
        <w:rPr>
          <w:rFonts w:cs="UnitOT-Light"/>
          <w:iCs/>
          <w:color w:val="595959"/>
          <w:sz w:val="19"/>
          <w:szCs w:val="18"/>
        </w:rPr>
      </w:r>
      <w:r/>
    </w:p>
    <w:p>
      <w:pPr>
        <w:sectPr>
          <w:footnotePr/>
          <w:type w:val="nextPage"/>
          <w:pgSz w:w="11906" w:h="16838" w:orient="portrait"/>
          <w:pgMar w:top="1418" w:right="1843" w:bottom="1418" w:left="1843" w:header="1134" w:footer="397"/>
          <w:cols w:num="1" w:sep="0" w:space="708" w:equalWidth="1"/>
          <w:docGrid w:linePitch="360"/>
        </w:sectPr>
      </w:pPr>
      <w:r/>
      <w:r/>
    </w:p>
    <w:p>
      <w:pPr>
        <w:pStyle w:val="487"/>
      </w:pPr>
      <w:r/>
      <w:bookmarkStart w:id="36" w:name="_Toc535214632"/>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39"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38" o:spid="_x0000_s38"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36"/>
      <w:r/>
      <w:r/>
    </w:p>
    <w:p>
      <w:pPr>
        <w:pStyle w:val="491"/>
      </w:pPr>
      <w:r>
        <w:t xml:space="preserve">Lección magistral: </w:t>
      </w:r>
      <w:r>
        <w:t xml:space="preserve">Modelos y métricas de calidad del software</w:t>
      </w:r>
      <w:r/>
    </w:p>
    <w:p>
      <w:pPr>
        <w:rPr>
          <w:rFonts w:cs="UnitOT-Light"/>
          <w:szCs w:val="22"/>
        </w:rPr>
      </w:pPr>
      <w:r>
        <w:rPr>
          <w:rFonts w:cs="UnitOT-Light"/>
          <w:szCs w:val="22"/>
        </w:rPr>
      </w:r>
      <w:r/>
    </w:p>
    <w:p>
      <w:pPr>
        <w:rPr>
          <w:rFonts w:cs="UnitOT-Light"/>
          <w:szCs w:val="22"/>
        </w:rPr>
      </w:pPr>
      <w:r>
        <w:rPr>
          <w:rFonts w:cs="UnitOT-Light"/>
          <w:szCs w:val="22"/>
        </w:rPr>
        <w:t xml:space="preserve">En esta lección magistral revis</w:t>
      </w:r>
      <w:r>
        <w:rPr>
          <w:rFonts w:cs="UnitOT-Light"/>
          <w:szCs w:val="22"/>
        </w:rPr>
        <w:t xml:space="preserve">aremos el concepto de calidad del software, resaltando la dificultad que presenta su medición y análisis. También se explicarán los diferentes niveles en los que se puede analizar la calidad del producto software: interno (dependiente de las característica</w:t>
      </w:r>
      <w:r>
        <w:rPr>
          <w:rFonts w:cs="UnitOT-Light"/>
          <w:szCs w:val="22"/>
        </w:rPr>
        <w:t xml:space="preserve">s del propio código), externo (que depende además del entorno de ejecución y su utilización) y en uso (más relacionado con la percepción que tiene el usuario final durante su utilización). Además, revisaremos los modelos de calidad que propone el estándar </w:t>
      </w:r>
      <w:r>
        <w:rPr>
          <w:rFonts w:cs="UnitOT-Light"/>
          <w:szCs w:val="22"/>
        </w:rPr>
        <w:t xml:space="preserve">SQuaRE</w:t>
      </w:r>
      <w:r>
        <w:rPr>
          <w:rFonts w:cs="UnitOT-Light"/>
          <w:szCs w:val="22"/>
        </w:rPr>
        <w:t xml:space="preserve"> y mostraremos algún ejemplo de métricas que permiten evaluar la calidad en uso de un producto. </w:t>
      </w:r>
      <w:r/>
    </w:p>
    <w:p>
      <w:pPr>
        <w:rPr>
          <w:rFonts w:cs="UnitOT-Light"/>
          <w:b/>
          <w:color w:val="FF0000"/>
          <w:szCs w:val="22"/>
        </w:rPr>
      </w:pPr>
      <w:r>
        <w:rPr>
          <w:rFonts w:cs="UnitOT-Light"/>
          <w:b/>
          <w:color w:val="FF0000"/>
          <w:szCs w:val="22"/>
        </w:rPr>
      </w:r>
      <w:r/>
    </w:p>
    <w:p>
      <w:pPr>
        <w:rPr>
          <w:rFonts w:cs="UnitOT-Light"/>
          <w:b/>
          <w:color w:val="FF0000"/>
          <w:szCs w:val="22"/>
        </w:rPr>
      </w:pPr>
      <w:r>
        <w:rPr>
          <w:rFonts w:cs="UnitOT-Light"/>
          <w:b/>
          <w:color w:val="FF0000"/>
          <w:szCs w:val="22"/>
        </w:rPr>
        <mc:AlternateContent>
          <mc:Choice Requires="wpg">
            <w:drawing>
              <wp:inline xmlns:wp="http://schemas.openxmlformats.org/drawingml/2006/wordprocessingDrawing" distT="0" distB="0" distL="0" distR="0">
                <wp:extent cx="5219700" cy="3008630"/>
                <wp:effectExtent l="0" t="0" r="0" b="1270"/>
                <wp:docPr id="40"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magistral.jpg" hidden="0"/>
                        <pic:cNvPicPr>
                          <a:picLocks noChangeAspect="1"/>
                        </pic:cNvPicPr>
                      </pic:nvPicPr>
                      <pic:blipFill>
                        <a:blip r:embed="rId57"/>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11.0pt;height:236.9pt;" stroked="false">
                <v:path textboxrect="0,0,0,0"/>
                <v:imagedata r:id="rId57" o:title=""/>
              </v:shape>
            </w:pict>
          </mc:Fallback>
        </mc:AlternateContent>
      </w:r>
      <w:r/>
    </w:p>
    <w:p>
      <w:pPr>
        <w:rPr>
          <w:rFonts w:cs="UnitOT-Light"/>
          <w:szCs w:val="22"/>
        </w:rPr>
      </w:pPr>
      <w:r>
        <w:rPr>
          <w:rFonts w:cs="UnitOT-Light"/>
          <w:szCs w:val="22"/>
        </w:rPr>
      </w:r>
      <w:r/>
    </w:p>
    <w:p>
      <w:pPr>
        <w:pStyle w:val="494"/>
      </w:pPr>
      <w:r>
        <w:t xml:space="preserve">Accede a la lección magistral a través del aula virtual.</w:t>
      </w:r>
      <w:r/>
    </w:p>
    <w:p>
      <w:pPr>
        <w:pStyle w:val="491"/>
      </w:pPr>
      <w:r/>
      <w:r/>
    </w:p>
    <w:p>
      <w:pPr>
        <w:pStyle w:val="491"/>
      </w:pPr>
      <w:r>
        <w:br w:type="page"/>
      </w:r>
      <w:r/>
    </w:p>
    <w:p>
      <w:pPr>
        <w:pStyle w:val="491"/>
      </w:pPr>
      <w:r>
        <w:t xml:space="preserve">ISO 25000: Software </w:t>
      </w:r>
      <w:r>
        <w:t xml:space="preserve">Product</w:t>
      </w:r>
      <w:r>
        <w:t xml:space="preserve"> </w:t>
      </w:r>
      <w:r>
        <w:t xml:space="preserve">Quality</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4624" behindDoc="0" locked="0" layoutInCell="1" allowOverlap="1">
                <wp:simplePos x="0" y="0"/>
                <wp:positionH relativeFrom="margin">
                  <wp:align>left</wp:align>
                </wp:positionH>
                <wp:positionV relativeFrom="paragraph">
                  <wp:posOffset>10795</wp:posOffset>
                </wp:positionV>
                <wp:extent cx="1800000" cy="694800"/>
                <wp:effectExtent l="0" t="0" r="0" b="0"/>
                <wp:wrapSquare wrapText="bothSides"/>
                <wp:docPr id="41" name="Imagen 5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g12.png" hidden="0"/>
                        <pic:cNvPicPr>
                          <a:picLocks noChangeAspect="1"/>
                        </pic:cNvPicPr>
                      </pic:nvPicPr>
                      <pic:blipFill>
                        <a:blip r:embed="rId58"/>
                        <a:stretch/>
                      </pic:blipFill>
                      <pic:spPr bwMode="auto">
                        <a:xfrm>
                          <a:off x="0" y="0"/>
                          <a:ext cx="1800000" cy="69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9.0pt;mso-wrap-distance-top:0.0pt;mso-wrap-distance-right:9.0pt;mso-wrap-distance-bottom:0.0pt;z-index:251674624;o:allowoverlap:true;o:allowincell:true;mso-position-horizontal-relative:margin;mso-position-horizontal:left;mso-position-vertical-relative:text;margin-top:0.8pt;mso-position-vertical:absolute;width:141.7pt;height:54.7pt;" stroked="false">
                <v:path textboxrect="0,0,0,0"/>
                <v:imagedata r:id="rId58" o:title=""/>
              </v:shape>
            </w:pict>
          </mc:Fallback>
        </mc:AlternateContent>
      </w:r>
      <w:r>
        <w:t xml:space="preserve">En esta página web encontrarás una amplia descripción del conjunto de normas ISO/IEC 25000, junto con noticias de actualidad</w:t>
      </w:r>
      <w:r>
        <w:t xml:space="preserve"> </w:t>
      </w:r>
      <w:r>
        <w:t xml:space="preserve">e información sobre el proceso de evaluación y certificación de productos software y laboratorios acreditados.</w:t>
      </w:r>
      <w:r/>
    </w:p>
    <w:p>
      <w:r>
        <w:t xml:space="preserve"> </w:t>
      </w:r>
      <w:r/>
    </w:p>
    <w:p>
      <w:pPr>
        <w:pStyle w:val="494"/>
      </w:pPr>
      <w:r>
        <w:t xml:space="preserve">Accede </w:t>
      </w:r>
      <w:r>
        <w:t xml:space="preserve">a la web </w:t>
      </w:r>
      <w:r>
        <w:t xml:space="preserve">a través del aula virtual o desde la siguiente dirección web:</w:t>
      </w:r>
      <w:r/>
    </w:p>
    <w:p>
      <w:pPr>
        <w:pStyle w:val="494"/>
      </w:pPr>
      <w:r>
        <w:rPr>
          <w:rStyle w:val="475"/>
        </w:rPr>
        <w:t xml:space="preserve">https://iso25000.com</w:t>
      </w:r>
      <w:r/>
    </w:p>
    <w:p>
      <w:pPr>
        <w:rPr>
          <w:rFonts w:cs="UnitOT-Light"/>
          <w:szCs w:val="22"/>
        </w:rPr>
      </w:pPr>
      <w:r>
        <w:rPr>
          <w:rFonts w:cs="UnitOT-Light"/>
          <w:szCs w:val="22"/>
        </w:rPr>
      </w:r>
      <w:r/>
    </w:p>
    <w:p>
      <w:pPr>
        <w:rPr>
          <w:rFonts w:cs="UnitOT-Light"/>
          <w:szCs w:val="22"/>
        </w:rPr>
      </w:pPr>
      <w:r>
        <w:rPr>
          <w:rFonts w:cs="UnitOT-Light"/>
          <w:szCs w:val="22"/>
        </w:rPr>
      </w:r>
      <w:r/>
    </w:p>
    <w:p>
      <w:pPr>
        <w:pStyle w:val="491"/>
      </w:pPr>
      <w:r>
        <w:t xml:space="preserve">ISO/IEC 25000: Calidad del producto software</w:t>
      </w:r>
      <w:r/>
    </w:p>
    <w:p>
      <w:pPr>
        <w:rPr>
          <w:rFonts w:cs="UnitOT-Light"/>
          <w:szCs w:val="22"/>
        </w:rPr>
      </w:pPr>
      <w:r>
        <w:rPr>
          <w:rFonts w:cs="UnitOT-Light"/>
          <w:szCs w:val="22"/>
        </w:rPr>
      </w:r>
      <w:r/>
    </w:p>
    <w:p>
      <w:pPr>
        <w:pStyle w:val="493"/>
      </w:pPr>
      <w:r>
        <w:t xml:space="preserve">Fernández, C. M., Rodríguez, M.</w:t>
      </w:r>
      <w:r>
        <w:t xml:space="preserve"> y</w:t>
      </w:r>
      <w:r>
        <w:t xml:space="preserve"> </w:t>
      </w:r>
      <w:r>
        <w:t xml:space="preserve">Piattini</w:t>
      </w:r>
      <w:r>
        <w:t xml:space="preserve">, M. (2013). ISO/IEC 25000: Calidad del producto software</w:t>
      </w:r>
      <w:r>
        <w:rPr>
          <w:i/>
        </w:rPr>
        <w:t xml:space="preserve">. AENOR: Revista de la normalización y la certificación</w:t>
      </w:r>
      <w:r>
        <w:t xml:space="preserve">, 288, 30-35.</w:t>
      </w:r>
      <w:r/>
    </w:p>
    <w:p>
      <w:pPr>
        <w:rPr>
          <w:rFonts w:cs="UnitOT-Light"/>
          <w:szCs w:val="22"/>
        </w:rPr>
      </w:pPr>
      <w:r>
        <w:rPr>
          <w:rFonts w:cs="UnitOT-Light"/>
          <w:szCs w:val="22"/>
        </w:rPr>
      </w:r>
      <w:r/>
    </w:p>
    <w:p>
      <w:r>
        <w:t xml:space="preserve">En este artículo encontrarás una introducción general a la importancia de la calidad del producto software, así como al proceso de certificación de calidad del pro</w:t>
      </w:r>
      <w:r>
        <w:t xml:space="preserve">ducto software en el caso de AENOR. También se menciona la experiencia piloto realizada en 2013 con tres empresas participantes, donde se constató la mejora de producción que supone el proceso y un ahorro de costes de mantenimiento de aproximadamente un 40</w:t>
      </w:r>
      <w:r>
        <w:t xml:space="preserve"> </w:t>
      </w:r>
      <w:r>
        <w:t xml:space="preserve">%.</w:t>
      </w:r>
      <w:r/>
    </w:p>
    <w:p>
      <w:pPr>
        <w:rPr>
          <w:rFonts w:cs="UnitOT-Light"/>
          <w:szCs w:val="22"/>
        </w:rPr>
      </w:pPr>
      <w:r>
        <w:rPr>
          <w:rFonts w:cs="UnitOT-Light"/>
          <w:szCs w:val="22"/>
        </w:rPr>
      </w:r>
      <w:r/>
    </w:p>
    <w:p>
      <w:pPr>
        <w:pStyle w:val="494"/>
      </w:pPr>
      <w:r>
        <w:t xml:space="preserve">Accede al documento a través del aula virtual o desde la siguiente dirección web:</w:t>
      </w:r>
      <w:r/>
    </w:p>
    <w:p>
      <w:pPr>
        <w:pStyle w:val="494"/>
      </w:pPr>
      <w:r>
        <w:rPr>
          <w:rStyle w:val="475"/>
        </w:rPr>
        <w:t xml:space="preserve">https://www.aenor.com/Certificacion_Documentos/Folletos/calidad_producto_software_ISO25000.pdf</w:t>
      </w:r>
      <w:r/>
    </w:p>
    <w:p>
      <w:pPr>
        <w:pStyle w:val="497"/>
        <w:rPr>
          <w:sz w:val="24"/>
          <w:szCs w:val="24"/>
        </w:rPr>
      </w:pPr>
      <w:r>
        <w:rPr>
          <w:sz w:val="24"/>
          <w:szCs w:val="24"/>
        </w:rPr>
        <w:br w:type="page"/>
      </w:r>
      <w:r/>
    </w:p>
    <w:p>
      <w:pPr>
        <w:pStyle w:val="491"/>
      </w:pPr>
      <w:r>
        <w:t xml:space="preserve">Página Web de AQC </w:t>
      </w:r>
      <w:r>
        <w:t xml:space="preserve">Lab</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6985</wp:posOffset>
                </wp:positionV>
                <wp:extent cx="2156400" cy="716400"/>
                <wp:effectExtent l="0" t="0" r="0" b="0"/>
                <wp:wrapSquare wrapText="bothSides"/>
                <wp:docPr id="42"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g13.png" hidden="0"/>
                        <pic:cNvPicPr>
                          <a:picLocks noChangeAspect="1"/>
                        </pic:cNvPicPr>
                      </pic:nvPicPr>
                      <pic:blipFill>
                        <a:blip r:embed="rId59"/>
                        <a:stretch/>
                      </pic:blipFill>
                      <pic:spPr bwMode="auto">
                        <a:xfrm>
                          <a:off x="0" y="0"/>
                          <a:ext cx="2156400" cy="716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5pt;mso-position-vertical:absolute;width:169.8pt;height:56.4pt;" stroked="false">
                <v:path textboxrect="0,0,0,0"/>
                <v:imagedata r:id="rId59" o:title=""/>
              </v:shape>
            </w:pict>
          </mc:Fallback>
        </mc:AlternateContent>
      </w:r>
      <w:r>
        <w:t xml:space="preserve">AQC </w:t>
      </w:r>
      <w:r>
        <w:t xml:space="preserve">Lab</w:t>
      </w:r>
      <w:r>
        <w:t xml:space="preserve"> es un </w:t>
      </w:r>
      <w:r>
        <w:rPr>
          <w:i/>
        </w:rPr>
        <w:t xml:space="preserve">spin</w:t>
      </w:r>
      <w:r>
        <w:rPr>
          <w:i/>
        </w:rPr>
        <w:t xml:space="preserve">–</w:t>
      </w:r>
      <w:r>
        <w:rPr>
          <w:i/>
        </w:rPr>
        <w:t xml:space="preserve">off </w:t>
      </w:r>
      <w:r>
        <w:t xml:space="preserve">de la Universidad de Castilla La Mancha especializado en la evaluación de la calidad del software. Además, es el primer laboratorio acreditado a nivel mundial para</w:t>
      </w:r>
      <w:r>
        <w:t xml:space="preserve"> la evaluación de la calidad de los datos y del producto software. En su página web encontrarás información sobre los diferentes procesos de evaluación que realizan, actualmente centrados en la mantenibilidad, la adecuación funcional y la calidad de datos.</w:t>
      </w:r>
      <w:r/>
    </w:p>
    <w:p>
      <w:pPr>
        <w:rPr>
          <w:rFonts w:cs="UnitOT-Light"/>
          <w:szCs w:val="22"/>
        </w:rPr>
      </w:pPr>
      <w:r>
        <w:rPr>
          <w:rFonts w:cs="UnitOT-Light"/>
          <w:szCs w:val="22"/>
        </w:rPr>
      </w:r>
      <w:r/>
    </w:p>
    <w:p>
      <w:pPr>
        <w:pStyle w:val="494"/>
      </w:pPr>
      <w:r>
        <w:t xml:space="preserve">Accede a</w:t>
      </w:r>
      <w:r>
        <w:t xml:space="preserve"> la web</w:t>
      </w:r>
      <w:r>
        <w:t xml:space="preserve"> a través del aula virtual o desde la siguiente dirección web:</w:t>
      </w:r>
      <w:r/>
    </w:p>
    <w:p>
      <w:pPr>
        <w:pStyle w:val="494"/>
      </w:pPr>
      <w:r>
        <w:rPr>
          <w:rStyle w:val="475"/>
        </w:rPr>
        <w:t xml:space="preserve">http://www.aqclab.es</w:t>
      </w:r>
      <w:r/>
    </w:p>
    <w:p>
      <w:pPr>
        <w:pStyle w:val="491"/>
      </w:pPr>
      <w:r/>
      <w:r/>
    </w:p>
    <w:p>
      <w:r/>
      <w:r/>
    </w:p>
    <w:p>
      <w:pPr>
        <w:pStyle w:val="491"/>
      </w:pPr>
      <w:r>
        <w:t xml:space="preserve">Webinar</w:t>
      </w:r>
      <w:r>
        <w:t xml:space="preserve">: ISO 25000 Calidad del producto software</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margin">
                  <wp:align>left</wp:align>
                </wp:positionH>
                <wp:positionV relativeFrom="paragraph">
                  <wp:posOffset>10795</wp:posOffset>
                </wp:positionV>
                <wp:extent cx="2494800" cy="1220400"/>
                <wp:effectExtent l="0" t="0" r="1270" b="0"/>
                <wp:wrapSquare wrapText="bothSides"/>
                <wp:docPr id="43"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g14.png" hidden="0"/>
                        <pic:cNvPicPr>
                          <a:picLocks noChangeAspect="1"/>
                        </pic:cNvPicPr>
                      </pic:nvPicPr>
                      <pic:blipFill>
                        <a:blip r:embed="rId60"/>
                        <a:stretch/>
                      </pic:blipFill>
                      <pic:spPr bwMode="auto">
                        <a:xfrm>
                          <a:off x="0" y="0"/>
                          <a:ext cx="2494800" cy="122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9.0pt;mso-wrap-distance-top:0.0pt;mso-wrap-distance-right:9.0pt;mso-wrap-distance-bottom:0.0pt;z-index:251676672;o:allowoverlap:true;o:allowincell:true;mso-position-horizontal-relative:margin;mso-position-horizontal:left;mso-position-vertical-relative:text;margin-top:0.8pt;mso-position-vertical:absolute;width:196.4pt;height:96.1pt;" stroked="false">
                <v:path textboxrect="0,0,0,0"/>
                <v:imagedata r:id="rId60" o:title=""/>
              </v:shape>
            </w:pict>
          </mc:Fallback>
        </mc:AlternateContent>
      </w:r>
      <w:r>
        <w:t xml:space="preserve">En este </w:t>
      </w:r>
      <w:r>
        <w:rPr>
          <w:i/>
        </w:rPr>
        <w:t xml:space="preserve">webinar</w:t>
      </w:r>
      <w:r>
        <w:t xml:space="preserve"> organizado por </w:t>
      </w:r>
      <w:r>
        <w:t xml:space="preserve">ArgenTesting</w:t>
      </w:r>
      <w:r>
        <w:t xml:space="preserve"> en octubre de 2018, </w:t>
      </w:r>
      <w:r>
        <w:t xml:space="preserve">Moisés</w:t>
      </w:r>
      <w:r>
        <w:t xml:space="preserve"> Rodríguez, director de AQC </w:t>
      </w:r>
      <w:r>
        <w:t xml:space="preserve">Lab</w:t>
      </w:r>
      <w:r>
        <w:t xml:space="preserve">, habla de la importancia de la calidad del producto software y la manera de evaluarlo bajo la norma ISO/IEC 25000. </w:t>
      </w:r>
      <w:r/>
    </w:p>
    <w:p>
      <w:r/>
      <w:r/>
    </w:p>
    <w:p>
      <w:pPr>
        <w:pStyle w:val="494"/>
      </w:pPr>
      <w:r>
        <w:t xml:space="preserve">Accede al</w:t>
      </w:r>
      <w:r>
        <w:t xml:space="preserve"> vídeo</w:t>
      </w:r>
      <w:r>
        <w:t xml:space="preserve"> a través del aula virtual o desde la siguiente dirección web:</w:t>
      </w:r>
      <w:r/>
    </w:p>
    <w:p>
      <w:pPr>
        <w:pStyle w:val="494"/>
        <w:rPr>
          <w:rStyle w:val="475"/>
        </w:rPr>
      </w:pPr>
      <w:r/>
      <w:hyperlink r:id="rId61" w:history="1">
        <w:r>
          <w:rPr>
            <w:rStyle w:val="475"/>
          </w:rPr>
          <w:t xml:space="preserve">https://youtu.be/CWbftDKbyyo</w:t>
        </w:r>
      </w:hyperlink>
      <w:r/>
      <w:r/>
    </w:p>
    <w:p>
      <w:pPr>
        <w:pStyle w:val="494"/>
      </w:pPr>
      <w:r>
        <w:t xml:space="preserve">Accede a </w:t>
      </w:r>
      <w:r>
        <w:t xml:space="preserve">otros </w:t>
      </w:r>
      <w:r>
        <w:rPr>
          <w:i/>
        </w:rPr>
        <w:t xml:space="preserve">webinars</w:t>
      </w:r>
      <w:r>
        <w:t xml:space="preserve"> organizados por </w:t>
      </w:r>
      <w:r>
        <w:t xml:space="preserve">ArgenTesting</w:t>
      </w:r>
      <w:r>
        <w:t xml:space="preserve"> </w:t>
      </w:r>
      <w:r>
        <w:t xml:space="preserve">a través del aula virtual o desde la siguiente dirección web:</w:t>
      </w:r>
      <w:r/>
    </w:p>
    <w:p>
      <w:pPr>
        <w:pStyle w:val="494"/>
      </w:pPr>
      <w:r/>
      <w:hyperlink r:id="rId62" w:history="1">
        <w:r>
          <w:rPr>
            <w:rStyle w:val="475"/>
          </w:rPr>
          <w:t xml:space="preserve">https://argentesting.com/webinars/</w:t>
        </w:r>
      </w:hyperlink>
      <w:r/>
      <w:r/>
    </w:p>
    <w:p>
      <w:pPr>
        <w:jc w:val="left"/>
        <w:rPr>
          <w:rFonts w:cs="UnitOT-Light"/>
          <w:szCs w:val="22"/>
        </w:rPr>
      </w:pPr>
      <w:r>
        <w:rPr>
          <w:rFonts w:cs="UnitOT-Light"/>
          <w:szCs w:val="22"/>
        </w:rPr>
      </w:r>
      <w:r/>
    </w:p>
    <w:p>
      <w:pPr>
        <w:pStyle w:val="491"/>
      </w:pPr>
      <w:r>
        <w:br w:type="page"/>
      </w:r>
      <w:r/>
    </w:p>
    <w:p>
      <w:pPr>
        <w:pStyle w:val="491"/>
      </w:pPr>
      <w:r>
        <w:t xml:space="preserve">Auditoría compatibilidad producto software</w:t>
      </w:r>
      <w:r/>
    </w:p>
    <w:p>
      <w:r/>
      <w:r/>
    </w:p>
    <w:p>
      <w:pPr>
        <w:pStyle w:val="493"/>
      </w:pPr>
      <w:r>
        <w:t xml:space="preserve">Sánchez</w:t>
      </w:r>
      <w:r>
        <w:t xml:space="preserve">–</w:t>
      </w:r>
      <w:r>
        <w:t xml:space="preserve">Carrasco, M. (2015). </w:t>
      </w:r>
      <w:r>
        <w:rPr>
          <w:i/>
        </w:rPr>
        <w:t xml:space="preserve">Auditoría compatibilidad producto software</w:t>
      </w:r>
      <w:r>
        <w:t xml:space="preserve"> (Trabajo de Fin de Grado). </w:t>
      </w:r>
      <w:r>
        <w:t xml:space="preserve">Universidad</w:t>
      </w:r>
      <w:r>
        <w:t xml:space="preserve"> Complutense de Madrid, Madrid, España.</w:t>
      </w:r>
      <w:r/>
    </w:p>
    <w:p>
      <w:r/>
      <w:r/>
    </w:p>
    <w:p>
      <w:r>
        <w:t xml:space="preserve">Este trabajo de fin de grado analiza la calidad del producto software desde el punto de vista de su portabilidad. En el capítulo 3 encontrarás un conjunto de métricas externas e internas d</w:t>
      </w:r>
      <w:r>
        <w:t xml:space="preserve">e portabilidad definidas en las normas ISO 9126-2 e ISO 9126-3, y algunas adicionales definidas por el propio autor. En el capítulo 4 se presenta un caso práctico donde el proceso de evaluación se aplica a las páginas web de cuatro universidades españolas.</w:t>
      </w:r>
      <w:r/>
    </w:p>
    <w:p>
      <w:pPr>
        <w:rPr>
          <w:color w:val="562360"/>
        </w:rPr>
      </w:pPr>
      <w:r>
        <w:rPr>
          <w:color w:val="562360"/>
        </w:rPr>
      </w:r>
      <w:r/>
    </w:p>
    <w:p>
      <w:pPr>
        <w:pStyle w:val="494"/>
      </w:pPr>
      <w:r>
        <w:t xml:space="preserve">Accede al documento a través del aula virtual o desde la siguiente dirección web:</w:t>
      </w:r>
      <w:r/>
    </w:p>
    <w:p>
      <w:pPr>
        <w:pStyle w:val="494"/>
      </w:pPr>
      <w:r/>
      <w:hyperlink r:id="rId63" w:history="1">
        <w:r>
          <w:rPr>
            <w:rStyle w:val="475"/>
          </w:rPr>
          <w:t xml:space="preserve">https://eprints.ucm.es/33446/</w:t>
        </w:r>
      </w:hyperlink>
      <w:r/>
      <w:r/>
    </w:p>
    <w:p>
      <w:r/>
      <w:r/>
    </w:p>
    <w:p>
      <w:pPr>
        <w:sectPr>
          <w:footerReference w:type="default" r:id="rId13"/>
          <w:footnotePr/>
          <w:type w:val="nextPage"/>
          <w:pgSz w:w="11906" w:h="16838" w:orient="portrait"/>
          <w:pgMar w:top="1418" w:right="1843" w:bottom="1418" w:left="1843" w:header="1134" w:footer="397"/>
          <w:cols w:num="1" w:sep="0" w:space="708" w:equalWidth="1"/>
          <w:docGrid w:linePitch="360"/>
        </w:sectPr>
      </w:pPr>
      <w:r/>
      <w:r/>
    </w:p>
    <w:p>
      <w:pPr>
        <w:pStyle w:val="487"/>
      </w:pPr>
      <w:r/>
      <w:bookmarkStart w:id="37" w:name="_Toc535214633"/>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44"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43" o:spid="_x0000_s43"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37"/>
      <w:r/>
      <w:r/>
    </w:p>
    <w:p>
      <w:pPr>
        <w:numPr>
          <w:ilvl w:val="0"/>
          <w:numId w:val="10"/>
        </w:numPr>
        <w:contextualSpacing w:val="true"/>
      </w:pPr>
      <w:r>
        <w:t xml:space="preserve">¿Qué tres enfoques del concepto de calidad se contemplan en las normas ISO/IEC 9126 y en la ISO/IEC 25000?</w:t>
      </w:r>
      <w:r/>
    </w:p>
    <w:p>
      <w:pPr>
        <w:ind w:left="567"/>
        <w:rPr>
          <w:rFonts w:cs="UnitOT-Light"/>
          <w:szCs w:val="22"/>
        </w:rPr>
      </w:pPr>
      <w:r>
        <w:rPr>
          <w:rFonts w:cs="UnitOT-Light"/>
          <w:szCs w:val="22"/>
        </w:rPr>
        <w:t xml:space="preserve">A. Calidad inherente, calidad intrínseca y calidad medible.</w:t>
      </w:r>
      <w:r/>
    </w:p>
    <w:p>
      <w:pPr>
        <w:ind w:left="567"/>
        <w:rPr>
          <w:rFonts w:cs="UnitOT-Light"/>
          <w:szCs w:val="22"/>
        </w:rPr>
      </w:pPr>
      <w:r>
        <w:rPr>
          <w:rFonts w:cs="UnitOT-Light"/>
          <w:szCs w:val="22"/>
        </w:rPr>
        <w:t xml:space="preserve">B. Calidad interna, calidad del proceso y calidad externa. </w:t>
      </w:r>
      <w:r/>
    </w:p>
    <w:p>
      <w:pPr>
        <w:ind w:left="567"/>
        <w:rPr>
          <w:rFonts w:cs="UnitOT-Light"/>
          <w:szCs w:val="22"/>
        </w:rPr>
      </w:pPr>
      <w:r>
        <w:rPr>
          <w:rFonts w:cs="UnitOT-Light"/>
          <w:szCs w:val="22"/>
        </w:rPr>
        <w:t xml:space="preserve">C. Calidad interna, calidad externa y calidad en uso. </w:t>
      </w:r>
      <w:r/>
    </w:p>
    <w:p>
      <w:pPr>
        <w:ind w:left="567"/>
        <w:rPr>
          <w:rFonts w:cs="UnitOT-Light"/>
          <w:szCs w:val="22"/>
        </w:rPr>
      </w:pPr>
      <w:r>
        <w:rPr>
          <w:rFonts w:cs="UnitOT-Light"/>
          <w:szCs w:val="22"/>
        </w:rPr>
        <w:t xml:space="preserve">D. Ninguna de las respuestas anteriores es correcta.</w:t>
      </w:r>
      <w:r/>
    </w:p>
    <w:p>
      <w:pPr>
        <w:ind w:left="567"/>
        <w:rPr>
          <w:rFonts w:cs="UnitOT-Light"/>
          <w:szCs w:val="22"/>
        </w:rPr>
      </w:pPr>
      <w:r>
        <w:rPr>
          <w:rFonts w:cs="UnitOT-Light"/>
          <w:szCs w:val="22"/>
        </w:rPr>
      </w:r>
      <w:r/>
    </w:p>
    <w:p>
      <w:pPr>
        <w:numPr>
          <w:ilvl w:val="0"/>
          <w:numId w:val="10"/>
        </w:numPr>
        <w:contextualSpacing w:val="true"/>
      </w:pPr>
      <w:r>
        <w:t xml:space="preserve">¿Sobre qué normas se apoya la nueva familia ISO/IEC 25000 para la calidad del software?</w:t>
      </w:r>
      <w:r/>
    </w:p>
    <w:p>
      <w:pPr>
        <w:ind w:left="567"/>
        <w:rPr>
          <w:rFonts w:cs="UnitOT-Light"/>
          <w:szCs w:val="22"/>
        </w:rPr>
      </w:pPr>
      <w:r>
        <w:rPr>
          <w:rFonts w:cs="UnitOT-Light"/>
          <w:szCs w:val="22"/>
        </w:rPr>
        <w:t xml:space="preserve">A. ISO 9000 e ISO 9600</w:t>
      </w:r>
      <w:r>
        <w:rPr>
          <w:rFonts w:cs="UnitOT-Light"/>
          <w:szCs w:val="22"/>
        </w:rPr>
        <w:t xml:space="preserve">.</w:t>
      </w:r>
      <w:r/>
    </w:p>
    <w:p>
      <w:pPr>
        <w:ind w:left="567"/>
        <w:rPr>
          <w:rFonts w:cs="UnitOT-Light"/>
          <w:szCs w:val="22"/>
        </w:rPr>
      </w:pPr>
      <w:r>
        <w:rPr>
          <w:rFonts w:cs="UnitOT-Light"/>
          <w:szCs w:val="22"/>
        </w:rPr>
        <w:t xml:space="preserve">B. ISO/IEC 14598 e ISO/IEC 9000</w:t>
      </w:r>
      <w:r>
        <w:rPr>
          <w:rFonts w:cs="UnitOT-Light"/>
          <w:szCs w:val="22"/>
        </w:rPr>
        <w:t xml:space="preserve">.</w:t>
      </w:r>
      <w:r/>
    </w:p>
    <w:p>
      <w:pPr>
        <w:ind w:left="567"/>
        <w:rPr>
          <w:rFonts w:cs="UnitOT-Light"/>
          <w:szCs w:val="22"/>
        </w:rPr>
      </w:pPr>
      <w:r>
        <w:rPr>
          <w:rFonts w:cs="UnitOT-Light"/>
          <w:szCs w:val="22"/>
        </w:rPr>
        <w:t xml:space="preserve">C. ISO/IEC 14598 e ISO/IEC 9126</w:t>
      </w:r>
      <w:r>
        <w:rPr>
          <w:rFonts w:cs="UnitOT-Light"/>
          <w:szCs w:val="22"/>
        </w:rPr>
        <w:t xml:space="preserve">.</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pPr>
      <w:r>
        <w:t xml:space="preserve">¿Qué cuatro partes tiene la norma ISO/IEC 9126:2001?</w:t>
      </w:r>
      <w:r/>
    </w:p>
    <w:p>
      <w:pPr>
        <w:ind w:left="567"/>
        <w:rPr>
          <w:rFonts w:cs="UnitOT-Light"/>
          <w:szCs w:val="22"/>
        </w:rPr>
      </w:pPr>
      <w:r>
        <w:rPr>
          <w:rFonts w:cs="UnitOT-Light"/>
          <w:szCs w:val="22"/>
        </w:rPr>
        <w:t xml:space="preserve">A. Una para definir el modelo de calidad y otras tres relacionadas con las métricas de calidad interna, externa y en uso.</w:t>
      </w:r>
      <w:r/>
    </w:p>
    <w:p>
      <w:pPr>
        <w:ind w:left="567"/>
        <w:rPr>
          <w:rFonts w:cs="UnitOT-Light"/>
          <w:szCs w:val="22"/>
        </w:rPr>
      </w:pPr>
      <w:r>
        <w:rPr>
          <w:rFonts w:cs="UnitOT-Light"/>
          <w:szCs w:val="22"/>
        </w:rPr>
        <w:t xml:space="preserve">B. Una para definir el modelo de calidad y otras tres para definir las fases del proceso de medida de la calidad. </w:t>
      </w:r>
      <w:r/>
    </w:p>
    <w:p>
      <w:pPr>
        <w:ind w:left="567"/>
        <w:rPr>
          <w:rFonts w:cs="UnitOT-Light"/>
          <w:szCs w:val="22"/>
        </w:rPr>
      </w:pPr>
      <w:r>
        <w:rPr>
          <w:rFonts w:cs="UnitOT-Light"/>
          <w:szCs w:val="22"/>
        </w:rPr>
        <w:t xml:space="preserve">C. Contiene cuatro partes en las que se establecen procesos para realizar la evaluación de la calidad del software. </w:t>
      </w:r>
      <w:r/>
    </w:p>
    <w:p>
      <w:pPr>
        <w:ind w:left="567"/>
        <w:rPr>
          <w:rFonts w:cs="UnitOT-Light"/>
          <w:szCs w:val="22"/>
        </w:rPr>
      </w:pPr>
      <w:r>
        <w:rPr>
          <w:rFonts w:cs="UnitOT-Light"/>
          <w:szCs w:val="22"/>
        </w:rPr>
        <w:t xml:space="preserve">D. Las mismas partes que la norma ISO/IEC 25000. </w:t>
      </w:r>
      <w:r/>
    </w:p>
    <w:p>
      <w:pPr>
        <w:ind w:left="0"/>
        <w:rPr>
          <w:rFonts w:cs="UnitOT-Light"/>
          <w:szCs w:val="22"/>
        </w:rPr>
      </w:pPr>
      <w:r>
        <w:rPr>
          <w:rFonts w:cs="UnitOT-Light"/>
          <w:szCs w:val="22"/>
        </w:rPr>
      </w:r>
      <w:r>
        <w:rPr>
          <w:rFonts w:cs="UnitOT-Light"/>
          <w:szCs w:val="22"/>
        </w:rPr>
      </w:r>
    </w:p>
    <w:p>
      <w:pPr>
        <w:numPr>
          <w:ilvl w:val="0"/>
          <w:numId w:val="10"/>
        </w:numPr>
        <w:contextualSpacing w:val="true"/>
      </w:pPr>
      <w:r>
        <w:t xml:space="preserve">¿En qué división de </w:t>
      </w:r>
      <w:r>
        <w:t xml:space="preserve">SQuaRE</w:t>
      </w:r>
      <w:r>
        <w:t xml:space="preserve"> define el modelo de calidad del software?</w:t>
      </w:r>
      <w:r/>
    </w:p>
    <w:p>
      <w:pPr>
        <w:ind w:left="567"/>
        <w:rPr>
          <w:rFonts w:cs="UnitOT-Light"/>
          <w:szCs w:val="22"/>
        </w:rPr>
      </w:pPr>
      <w:r>
        <w:rPr>
          <w:rFonts w:cs="UnitOT-Light"/>
          <w:szCs w:val="22"/>
        </w:rPr>
        <w:t xml:space="preserve">A. 2501x</w:t>
      </w:r>
      <w:r>
        <w:rPr>
          <w:rFonts w:cs="UnitOT-Light"/>
          <w:szCs w:val="22"/>
        </w:rPr>
        <w:t xml:space="preserve">.</w:t>
      </w:r>
      <w:r/>
    </w:p>
    <w:p>
      <w:pPr>
        <w:ind w:left="567"/>
        <w:rPr>
          <w:rFonts w:cs="UnitOT-Light"/>
          <w:szCs w:val="22"/>
        </w:rPr>
      </w:pPr>
      <w:r>
        <w:rPr>
          <w:rFonts w:cs="UnitOT-Light"/>
          <w:szCs w:val="22"/>
        </w:rPr>
        <w:t xml:space="preserve">B. 2502x</w:t>
      </w:r>
      <w:r>
        <w:rPr>
          <w:rFonts w:cs="UnitOT-Light"/>
          <w:szCs w:val="22"/>
        </w:rPr>
        <w:t xml:space="preserve">.</w:t>
      </w:r>
      <w:r/>
    </w:p>
    <w:p>
      <w:pPr>
        <w:ind w:left="567"/>
        <w:rPr>
          <w:rFonts w:cs="UnitOT-Light"/>
          <w:szCs w:val="22"/>
        </w:rPr>
      </w:pPr>
      <w:r>
        <w:rPr>
          <w:rFonts w:cs="UnitOT-Light"/>
          <w:szCs w:val="22"/>
        </w:rPr>
        <w:t xml:space="preserve">C. 2503x</w:t>
      </w:r>
      <w:r>
        <w:rPr>
          <w:rFonts w:cs="UnitOT-Light"/>
          <w:szCs w:val="22"/>
        </w:rPr>
        <w:t xml:space="preserve">.</w:t>
      </w:r>
      <w:r/>
    </w:p>
    <w:p>
      <w:pPr>
        <w:ind w:left="567"/>
        <w:rPr>
          <w:rFonts w:cs="UnitOT-Light"/>
          <w:szCs w:val="22"/>
        </w:rPr>
      </w:pPr>
      <w:r>
        <w:rPr>
          <w:rFonts w:cs="UnitOT-Light"/>
          <w:szCs w:val="22"/>
        </w:rPr>
        <w:t xml:space="preserve">D. 2504x</w:t>
      </w:r>
      <w:r>
        <w:rPr>
          <w:rFonts w:cs="UnitOT-Light"/>
          <w:szCs w:val="22"/>
        </w:rPr>
        <w:t xml:space="preserve">.</w:t>
      </w:r>
      <w:r/>
    </w:p>
    <w:p>
      <w:pPr>
        <w:numPr>
          <w:ilvl w:val="0"/>
          <w:numId w:val="10"/>
        </w:numPr>
        <w:contextualSpacing w:val="true"/>
      </w:pPr>
      <w:r>
        <w:t xml:space="preserve">¿Cuál de las siguientes es una característica del modelo de calidad en uso según la norma </w:t>
      </w:r>
      <w:r>
        <w:t xml:space="preserve">SQuaRE</w:t>
      </w:r>
      <w:r>
        <w:t xml:space="preserve">?</w:t>
      </w:r>
      <w:r/>
    </w:p>
    <w:p>
      <w:pPr>
        <w:ind w:left="567"/>
        <w:rPr>
          <w:rFonts w:cs="UnitOT-Light"/>
          <w:szCs w:val="22"/>
        </w:rPr>
      </w:pPr>
      <w:r>
        <w:rPr>
          <w:rFonts w:cs="UnitOT-Light"/>
          <w:szCs w:val="22"/>
        </w:rPr>
        <w:t xml:space="preserve">A. Mantenibilidad.</w:t>
      </w:r>
      <w:r/>
    </w:p>
    <w:p>
      <w:pPr>
        <w:ind w:left="567"/>
        <w:rPr>
          <w:rFonts w:cs="UnitOT-Light"/>
          <w:szCs w:val="22"/>
        </w:rPr>
      </w:pPr>
      <w:r>
        <w:rPr>
          <w:rFonts w:cs="UnitOT-Light"/>
          <w:szCs w:val="22"/>
        </w:rPr>
        <w:t xml:space="preserve">B. Satisfacción.</w:t>
      </w:r>
      <w:r/>
    </w:p>
    <w:p>
      <w:pPr>
        <w:ind w:left="567"/>
        <w:rPr>
          <w:rFonts w:cs="UnitOT-Light"/>
          <w:szCs w:val="22"/>
        </w:rPr>
      </w:pPr>
      <w:r>
        <w:rPr>
          <w:rFonts w:cs="UnitOT-Light"/>
          <w:szCs w:val="22"/>
        </w:rPr>
        <w:t xml:space="preserve">C. Portabilidad.</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pPr>
      <w:r>
        <w:rPr>
          <w:rFonts w:cs="UnitOT-Light"/>
          <w:szCs w:val="22"/>
        </w:rPr>
      </w:r>
      <w:r/>
    </w:p>
    <w:p>
      <w:pPr>
        <w:numPr>
          <w:ilvl w:val="0"/>
          <w:numId w:val="10"/>
        </w:numPr>
        <w:contextualSpacing w:val="true"/>
      </w:pPr>
      <w:r>
        <w:t xml:space="preserve">¿Qué elementos define el modelo de calidad del producto en la norma ISO/IEC 25010?</w:t>
      </w:r>
      <w:r/>
    </w:p>
    <w:p>
      <w:pPr>
        <w:ind w:left="567"/>
        <w:rPr>
          <w:rFonts w:cs="UnitOT-Light"/>
          <w:szCs w:val="22"/>
        </w:rPr>
      </w:pPr>
      <w:r>
        <w:rPr>
          <w:rFonts w:cs="UnitOT-Light"/>
          <w:szCs w:val="22"/>
        </w:rPr>
        <w:t xml:space="preserve">A. Un conjunto de características y un conjunto de métricas de calidad asociadas.</w:t>
      </w:r>
      <w:r/>
    </w:p>
    <w:p>
      <w:pPr>
        <w:ind w:left="567"/>
        <w:rPr>
          <w:rFonts w:cs="UnitOT-Light"/>
          <w:szCs w:val="22"/>
        </w:rPr>
      </w:pPr>
      <w:r>
        <w:rPr>
          <w:rFonts w:cs="UnitOT-Light"/>
          <w:szCs w:val="22"/>
        </w:rPr>
        <w:t xml:space="preserve">B. Un conjunto de actividades recomendadas para realizar el proceso de medida de la calidad del software. </w:t>
      </w:r>
      <w:r/>
    </w:p>
    <w:p>
      <w:pPr>
        <w:ind w:left="567"/>
        <w:rPr>
          <w:rFonts w:cs="UnitOT-Light"/>
          <w:szCs w:val="22"/>
        </w:rPr>
      </w:pPr>
      <w:r>
        <w:rPr>
          <w:rFonts w:cs="UnitOT-Light"/>
          <w:szCs w:val="22"/>
        </w:rPr>
        <w:t xml:space="preserve">C. Un conjunto de características de calidad que se descomponen en </w:t>
      </w:r>
      <w:r>
        <w:rPr>
          <w:rFonts w:cs="UnitOT-Light"/>
          <w:szCs w:val="22"/>
        </w:rPr>
        <w:t xml:space="preserve">subcaracterísticas</w:t>
      </w:r>
      <w:r>
        <w:rPr>
          <w:rFonts w:cs="UnitOT-Light"/>
          <w:szCs w:val="22"/>
        </w:rPr>
        <w:t xml:space="preserve"> más concretas.</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pPr>
      <w:r>
        <w:rPr>
          <w:rFonts w:cs="UnitOT-Light"/>
          <w:szCs w:val="22"/>
        </w:rPr>
      </w:r>
      <w:r/>
    </w:p>
    <w:p>
      <w:pPr>
        <w:numPr>
          <w:ilvl w:val="0"/>
          <w:numId w:val="10"/>
        </w:numPr>
        <w:contextualSpacing w:val="true"/>
      </w:pPr>
      <w:r>
        <w:t xml:space="preserve">¿Cuál de las siguientes definiciones se ajusta mejor al concepto de </w:t>
      </w:r>
      <w:r>
        <w:t xml:space="preserve">«c</w:t>
      </w:r>
      <w:r>
        <w:t xml:space="preserve">ompatibilidad</w:t>
      </w:r>
      <w:r>
        <w:t xml:space="preserve">» </w:t>
      </w:r>
      <w:r>
        <w:t xml:space="preserve">según el modelo de calidad de </w:t>
      </w:r>
      <w:r>
        <w:t xml:space="preserve">SQuaRE</w:t>
      </w:r>
      <w:r>
        <w:t xml:space="preserve">?</w:t>
      </w:r>
      <w:r/>
    </w:p>
    <w:p>
      <w:pPr>
        <w:ind w:left="567"/>
        <w:rPr>
          <w:rFonts w:cs="UnitOT-Light"/>
          <w:szCs w:val="22"/>
        </w:rPr>
      </w:pPr>
      <w:r>
        <w:rPr>
          <w:rFonts w:cs="UnitOT-Light"/>
          <w:szCs w:val="22"/>
        </w:rPr>
        <w:t xml:space="preserve">A. </w:t>
      </w:r>
      <w:r>
        <w:rPr>
          <w:rFonts w:cs="UnitOT-Light"/>
          <w:szCs w:val="22"/>
        </w:rPr>
        <w:t xml:space="preserve">Capaci</w:t>
      </w:r>
      <w:r>
        <w:t xml:space="preserve">dad del producto para ser utilizado, aprendido y comprendido resultando atractivo para el usuario, al ser empleado en determinadas condiciones.</w:t>
      </w:r>
      <w:r/>
    </w:p>
    <w:p>
      <w:pPr>
        <w:ind w:left="567"/>
        <w:rPr>
          <w:rFonts w:cs="UnitOT-Light"/>
          <w:szCs w:val="22"/>
        </w:rPr>
      </w:pPr>
      <w:r>
        <w:rPr>
          <w:rFonts w:cs="UnitOT-Light"/>
          <w:szCs w:val="22"/>
        </w:rPr>
        <w:t xml:space="preserve">B. </w:t>
      </w:r>
      <w:r>
        <w:t xml:space="preserve">Capacidad del producto para desempeñar su función cuando se utiliza en unas determinadas condiciones</w:t>
      </w:r>
      <w:r>
        <w:rPr>
          <w:rFonts w:cs="UnitOT-Light"/>
          <w:szCs w:val="22"/>
        </w:rPr>
        <w:t xml:space="preserve">.</w:t>
      </w:r>
      <w:r/>
    </w:p>
    <w:p>
      <w:pPr>
        <w:ind w:left="567"/>
        <w:rPr>
          <w:rFonts w:cs="UnitOT-Light"/>
          <w:szCs w:val="22"/>
        </w:rPr>
      </w:pPr>
      <w:r>
        <w:rPr>
          <w:rFonts w:cs="UnitOT-Light"/>
          <w:szCs w:val="22"/>
        </w:rPr>
        <w:t xml:space="preserve">C. </w:t>
      </w:r>
      <w:r>
        <w:t xml:space="preserve">Capacidad del producto para ser modificado en función de las nuevas necesidades de manera eficiente.</w:t>
      </w:r>
      <w:r>
        <w:rPr>
          <w:rFonts w:cs="UnitOT-Light"/>
          <w:szCs w:val="22"/>
        </w:rPr>
        <w:t xml:space="preserve"> </w:t>
      </w:r>
      <w:r/>
    </w:p>
    <w:p>
      <w:pPr>
        <w:ind w:left="567"/>
      </w:pPr>
      <w:r>
        <w:rPr>
          <w:rFonts w:cs="UnitOT-Light"/>
          <w:szCs w:val="22"/>
        </w:rPr>
        <w:t xml:space="preserve">D. </w:t>
      </w:r>
      <w:r>
        <w:t xml:space="preserve">Capacidad de dos o más sistemas o componentes software para intercambiar información y/o realizar sus funciones compartiendo el mismo entorno.</w:t>
      </w:r>
      <w:r/>
    </w:p>
    <w:p>
      <w:pPr>
        <w:ind w:left="567"/>
        <w:rPr>
          <w:rFonts w:cs="UnitOT-Light"/>
          <w:szCs w:val="22"/>
        </w:rPr>
        <w:sectPr>
          <w:footerReference w:type="default" r:id="rId14"/>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pPr>
      <w:r>
        <w:t xml:space="preserve">¿A qué se refiere la calidad de datos inherente dentro del modelo de calidad de datos definido en ISO/IEC25012?</w:t>
      </w:r>
      <w:r/>
    </w:p>
    <w:p>
      <w:pPr>
        <w:ind w:left="567"/>
        <w:rPr>
          <w:rFonts w:cs="UnitOT-Light"/>
          <w:szCs w:val="22"/>
        </w:rPr>
      </w:pPr>
      <w:r>
        <w:rPr>
          <w:rFonts w:cs="UnitOT-Light"/>
          <w:szCs w:val="22"/>
        </w:rPr>
        <w:t xml:space="preserve">A. A la calidad de los datos que dependen del propio potencial intrínseco para satisfacer las necesidades del sistema.</w:t>
      </w:r>
      <w:r/>
    </w:p>
    <w:p>
      <w:pPr>
        <w:ind w:left="567"/>
        <w:rPr>
          <w:rFonts w:cs="UnitOT-Light"/>
          <w:szCs w:val="22"/>
        </w:rPr>
      </w:pPr>
      <w:r>
        <w:rPr>
          <w:rFonts w:cs="UnitOT-Light"/>
          <w:szCs w:val="22"/>
        </w:rPr>
        <w:t xml:space="preserve">B. Al grado en que se alcanza un nivel de calidad de datos durante su utilización en un sistema concreto.</w:t>
      </w:r>
      <w:r/>
    </w:p>
    <w:p>
      <w:pPr>
        <w:ind w:left="567"/>
        <w:rPr>
          <w:rFonts w:cs="UnitOT-Light"/>
          <w:szCs w:val="22"/>
        </w:rPr>
      </w:pPr>
      <w:r>
        <w:rPr>
          <w:rFonts w:cs="UnitOT-Light"/>
          <w:szCs w:val="22"/>
        </w:rPr>
        <w:t xml:space="preserve">C. Las dos respuestas anteriores son correctas.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pPr>
      <w:r>
        <w:t xml:space="preserve">¿Qué actores principales intervienen como mínimo en un proceso de certificación según la norma ISO/IEC 25000?</w:t>
      </w:r>
      <w:r/>
    </w:p>
    <w:p>
      <w:pPr>
        <w:ind w:left="567"/>
        <w:rPr>
          <w:rFonts w:cs="UnitOT-Light"/>
          <w:szCs w:val="22"/>
        </w:rPr>
      </w:pPr>
      <w:r>
        <w:rPr>
          <w:rFonts w:cs="UnitOT-Light"/>
          <w:szCs w:val="22"/>
        </w:rPr>
        <w:t xml:space="preserve">A. La organización solicitante, el laboratorio acreditado y el consultor de calidad.</w:t>
      </w:r>
      <w:r/>
    </w:p>
    <w:p>
      <w:pPr>
        <w:ind w:left="567"/>
        <w:rPr>
          <w:rFonts w:cs="UnitOT-Light"/>
          <w:szCs w:val="22"/>
        </w:rPr>
      </w:pPr>
      <w:r>
        <w:rPr>
          <w:rFonts w:cs="UnitOT-Light"/>
          <w:szCs w:val="22"/>
        </w:rPr>
        <w:t xml:space="preserve">B. La organización solicitante, el laboratorio acreditado y la entidad de certificación. </w:t>
      </w:r>
      <w:r/>
    </w:p>
    <w:p>
      <w:pPr>
        <w:ind w:left="567"/>
        <w:rPr>
          <w:rFonts w:cs="UnitOT-Light"/>
          <w:szCs w:val="22"/>
        </w:rPr>
      </w:pPr>
      <w:r>
        <w:rPr>
          <w:rFonts w:cs="UnitOT-Light"/>
          <w:szCs w:val="22"/>
        </w:rPr>
        <w:t xml:space="preserve">C. El laboratorio acreditado, la entidad de certificación y el consultor de calidad.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10"/>
        </w:numPr>
        <w:contextualSpacing w:val="true"/>
      </w:pPr>
      <w:r>
        <w:t xml:space="preserve">¿Cuál de las siguientes es una </w:t>
      </w:r>
      <w:r>
        <w:t xml:space="preserve">subcaracterística</w:t>
      </w:r>
      <w:r>
        <w:t xml:space="preserve"> de la característica de calidad de producto </w:t>
      </w:r>
      <w:r>
        <w:t xml:space="preserve">«c</w:t>
      </w:r>
      <w:r>
        <w:t xml:space="preserve">ompatibilidad</w:t>
      </w:r>
      <w:r>
        <w:t xml:space="preserve">»</w:t>
      </w:r>
      <w:r>
        <w:t xml:space="preserve"> según </w:t>
      </w:r>
      <w:r>
        <w:t xml:space="preserve">SQuaRE</w:t>
      </w:r>
      <w:r>
        <w:t xml:space="preserve">?</w:t>
      </w:r>
      <w:r/>
    </w:p>
    <w:p>
      <w:pPr>
        <w:ind w:left="567"/>
        <w:rPr>
          <w:rFonts w:cs="UnitOT-Light"/>
          <w:szCs w:val="22"/>
        </w:rPr>
      </w:pPr>
      <w:r>
        <w:rPr>
          <w:rFonts w:cs="UnitOT-Light"/>
          <w:szCs w:val="22"/>
        </w:rPr>
        <w:t xml:space="preserve">A. La coexistencia.</w:t>
      </w:r>
      <w:r/>
    </w:p>
    <w:p>
      <w:pPr>
        <w:ind w:left="567"/>
        <w:rPr>
          <w:rFonts w:cs="UnitOT-Light"/>
          <w:szCs w:val="22"/>
        </w:rPr>
      </w:pPr>
      <w:r>
        <w:rPr>
          <w:rFonts w:cs="UnitOT-Light"/>
          <w:szCs w:val="22"/>
        </w:rPr>
        <w:t xml:space="preserve">B. La interoperabilidad.</w:t>
      </w:r>
      <w:r/>
    </w:p>
    <w:p>
      <w:pPr>
        <w:ind w:left="567"/>
        <w:rPr>
          <w:rFonts w:cs="UnitOT-Light"/>
          <w:szCs w:val="22"/>
        </w:rPr>
      </w:pPr>
      <w:r>
        <w:rPr>
          <w:rFonts w:cs="UnitOT-Light"/>
          <w:szCs w:val="22"/>
        </w:rPr>
        <w:t xml:space="preserve">C. Las respuestas A y B son correctas. </w:t>
      </w:r>
      <w:r/>
    </w:p>
    <w:p>
      <w:pPr>
        <w:ind w:left="567"/>
        <w:rPr>
          <w:rFonts w:cs="UnitOT-Light"/>
          <w:szCs w:val="22"/>
        </w:rPr>
      </w:pPr>
      <w:r>
        <w:rPr>
          <w:rFonts w:cs="UnitOT-Light"/>
          <w:szCs w:val="22"/>
        </w:rPr>
        <w:t xml:space="preserve">D. Ninguna de las respuestas anteriores es correcta. </w:t>
      </w:r>
      <w:r/>
    </w:p>
    <w:p>
      <w:pPr>
        <w:pStyle w:val="480"/>
        <w:ind w:left="284"/>
      </w:pPr>
      <w:r/>
      <w:r/>
    </w:p>
    <w:sectPr>
      <w:footerReference w:type="default" r:id="rId15"/>
      <w:footnotePr/>
      <w:type w:val="nextPage"/>
      <w:pgSz w:w="11906" w:h="16838" w:orient="portrait"/>
      <w:pgMar w:top="1418" w:right="1843" w:bottom="1418" w:left="1843" w:header="1134" w:footer="39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UnitOT">
    <w:panose1 w:val="020D0000000400000000"/>
  </w:font>
  <w:font w:name="Wingdings">
    <w:panose1 w:val="05010000000000000000"/>
  </w:font>
  <w:font w:name="Courier New">
    <w:panose1 w:val="02070409020205020404"/>
  </w:font>
  <w:font w:name="Symbol">
    <w:panose1 w:val="05010000000000000000"/>
  </w:font>
  <w:font w:name="Adobe Fangsong Std R">
    <w:panose1 w:val="020D0000000400000000"/>
  </w:font>
  <w:font w:name="@Adobe Fangsong Std R">
    <w:panose1 w:val="020D00000004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2"/>
    </w:pPr>
    <w:r>
      <w:t xml:space="preserve">Ingeniería del Software Avanzada</w:t>
    </w:r>
    <w:r/>
  </w:p>
  <w:p>
    <w:pPr>
      <w:pStyle w:val="471"/>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10.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1"/>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73"/>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2"/>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72"/>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2"/>
    </w:pPr>
    <w:r>
      <w:t xml:space="preserve">Ingeniería del Software Avanzada</w:t>
    </w:r>
    <w:r/>
  </w:p>
  <w:p>
    <w:pPr>
      <w:pStyle w:val="471"/>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10.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2"/>
    </w:pPr>
    <w:r>
      <w:t xml:space="preserve">Ingeniería del Software Avanzada</w:t>
    </w:r>
    <w:r/>
  </w:p>
  <w:p>
    <w:pPr>
      <w:pStyle w:val="471"/>
      <w:rPr>
        <w:color w:val="777777"/>
      </w:rPr>
    </w:pPr>
    <w:r>
      <mc:AlternateContent>
        <mc:Choice Requires="wpg">
          <w:drawing>
            <wp:anchor xmlns:wp="http://schemas.openxmlformats.org/drawingml/2006/wordprocessingDrawing" distT="0" distB="0" distL="114300" distR="114300" simplePos="0" relativeHeight="251773952"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2" name="Cuadro de texto 29"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73952;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7292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30"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7292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10.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2"/>
    </w:pPr>
    <w:r>
      <w:t xml:space="preserve">Ingeniería del Software Avanzada</w:t>
    </w:r>
    <w:r/>
  </w:p>
  <w:p>
    <w:pPr>
      <w:pStyle w:val="471"/>
      <w:rPr>
        <w:color w:val="777777"/>
      </w:rPr>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-2171700</wp:posOffset>
              </wp:positionH>
              <wp:positionV relativeFrom="page">
                <wp:posOffset>9264015</wp:posOffset>
              </wp:positionV>
              <wp:extent cx="2518410" cy="322580"/>
              <wp:effectExtent l="12065" t="6985" r="8255" b="8255"/>
              <wp:wrapNone/>
              <wp:docPr id="14" name="Cuadro de texto 2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6784;o:allowoverlap:true;o:allowincell:true;mso-position-horizontal-relative:text;margin-left:-171.0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6473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6473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10. Test</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72"/>
    </w:pPr>
    <w:r>
      <w:t xml:space="preserve">Ingeniería del Software Avanzada</w:t>
    </w:r>
    <w:r/>
  </w:p>
  <w:p>
    <w:pPr>
      <w:pStyle w:val="471"/>
      <w:rPr>
        <w:color w:val="777777"/>
      </w:rPr>
    </w:pPr>
    <w:r>
      <mc:AlternateContent>
        <mc:Choice Requires="wpg">
          <w:drawing>
            <wp:anchor xmlns:wp="http://schemas.openxmlformats.org/drawingml/2006/wordprocessingDrawing" distT="0" distB="0" distL="114300" distR="114300" simplePos="0" relativeHeight="251768832"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6" name="Cuadro de texto 2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68832;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7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10.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9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9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4">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49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numStyleLink w:val="49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21">
    <w:multiLevelType w:val="hybridMultilevel"/>
    <w:lvl w:ilvl="0">
      <w:start w:val="1"/>
      <w:numFmt w:val="bullet"/>
      <w:isLgl w:val="false"/>
      <w:suff w:val="tab"/>
      <w:lvlText w:val="»"/>
      <w:lvlJc w:val="left"/>
      <w:pPr>
        <w:ind w:left="720" w:hanging="360"/>
      </w:pPr>
      <w:rPr>
        <w:rFonts w:ascii="Georgia" w:hAnsi="Georgia" w:hint="default"/>
        <w:b w:val="false"/>
        <w:i w:val="false"/>
        <w:color w:val="336699"/>
        <w:sz w:val="22"/>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2">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49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6">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styleLink w:val="492"/>
    <w:lvl w:ilvl="0">
      <w:start w:val="1"/>
      <w:numFmt w:val="decimal"/>
      <w:pStyle w:val="492"/>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29">
    <w:multiLevelType w:val="hybridMultilevel"/>
    <w:styleLink w:val="477"/>
    <w:lvl w:ilvl="0">
      <w:start w:val="1"/>
      <w:numFmt w:val="bullet"/>
      <w:pStyle w:val="477"/>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0">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3">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styleLink w:val="504"/>
    <w:lvl w:ilvl="0">
      <w:start w:val="1"/>
      <w:numFmt w:val="decimal"/>
      <w:pStyle w:val="504"/>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5">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6">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7">
    <w:multiLevelType w:val="hybridMultilevel"/>
    <w:numStyleLink w:val="47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8">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29"/>
  </w:num>
  <w:num w:numId="2">
    <w:abstractNumId w:val="25"/>
  </w:num>
  <w:num w:numId="3">
    <w:abstractNumId w:val="13"/>
  </w:num>
  <w:num w:numId="4">
    <w:abstractNumId w:val="15"/>
  </w:num>
  <w:num w:numId="5">
    <w:abstractNumId w:val="10"/>
  </w:num>
  <w:num w:numId="6">
    <w:abstractNumId w:val="16"/>
  </w:num>
  <w:num w:numId="7">
    <w:abstractNumId w:val="28"/>
  </w:num>
  <w:num w:numId="8">
    <w:abstractNumId w:val="30"/>
  </w:num>
  <w:num w:numId="9">
    <w:abstractNumId w:val="34"/>
  </w:num>
  <w:num w:numId="10">
    <w:abstractNumId w:val="1"/>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11">
    <w:abstractNumId w:val="38"/>
  </w:num>
  <w:num w:numId="12">
    <w:abstractNumId w:val="17"/>
  </w:num>
  <w:num w:numId="13">
    <w:abstractNumId w:val="36"/>
  </w:num>
  <w:num w:numId="14">
    <w:abstractNumId w:val="24"/>
  </w:num>
  <w:num w:numId="15">
    <w:abstractNumId w:val="7"/>
  </w:num>
  <w:num w:numId="16">
    <w:abstractNumId w:val="19"/>
  </w:num>
  <w:num w:numId="17">
    <w:abstractNumId w:val="18"/>
  </w:num>
  <w:num w:numId="18">
    <w:abstractNumId w:val="2"/>
  </w:num>
  <w:num w:numId="19">
    <w:abstractNumId w:val="33"/>
  </w:num>
  <w:num w:numId="20">
    <w:abstractNumId w:val="9"/>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
  </w:num>
  <w:num w:numId="25">
    <w:abstractNumId w:val="8"/>
  </w:num>
  <w:num w:numId="26">
    <w:abstractNumId w:val="5"/>
  </w:num>
  <w:num w:numId="27">
    <w:abstractNumId w:val="23"/>
  </w:num>
  <w:num w:numId="28">
    <w:abstractNumId w:val="6"/>
  </w:num>
  <w:num w:numId="29">
    <w:abstractNumId w:val="35"/>
  </w:num>
  <w:num w:numId="30">
    <w:abstractNumId w:val="0"/>
  </w:num>
  <w:num w:numId="31">
    <w:abstractNumId w:val="37"/>
  </w:num>
  <w:num w:numId="32">
    <w:abstractNumId w:val="22"/>
  </w:num>
  <w:num w:numId="33">
    <w:abstractNumId w:val="31"/>
  </w:num>
  <w:num w:numId="34">
    <w:abstractNumId w:val="11"/>
  </w:num>
  <w:num w:numId="35">
    <w:abstractNumId w:val="32"/>
  </w:num>
  <w:num w:numId="36">
    <w:abstractNumId w:val="21"/>
  </w:num>
  <w:num w:numId="37">
    <w:abstractNumId w:val="27"/>
  </w:num>
  <w:num w:numId="38">
    <w:abstractNumId w:val="4"/>
  </w:num>
  <w:num w:numId="39">
    <w:abstractNumId w:val="14"/>
  </w:num>
  <w:num w:numId="40">
    <w:abstractNumId w:val="1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68"/>
    <w:link w:val="466"/>
    <w:uiPriority w:val="9"/>
    <w:rPr>
      <w:rFonts w:ascii="Arial" w:hAnsi="Arial" w:cs="Arial" w:eastAsia="Arial"/>
      <w:sz w:val="40"/>
      <w:szCs w:val="40"/>
    </w:rPr>
  </w:style>
  <w:style w:type="character" w:styleId="14">
    <w:name w:val="Heading 2 Char"/>
    <w:basedOn w:val="468"/>
    <w:link w:val="467"/>
    <w:uiPriority w:val="9"/>
    <w:rPr>
      <w:rFonts w:ascii="Arial" w:hAnsi="Arial" w:cs="Arial" w:eastAsia="Arial"/>
      <w:sz w:val="34"/>
    </w:rPr>
  </w:style>
  <w:style w:type="paragraph" w:styleId="15">
    <w:name w:val="Heading 3"/>
    <w:basedOn w:val="465"/>
    <w:next w:val="465"/>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68"/>
    <w:link w:val="15"/>
    <w:uiPriority w:val="9"/>
    <w:rPr>
      <w:rFonts w:ascii="Arial" w:hAnsi="Arial" w:cs="Arial" w:eastAsia="Arial"/>
      <w:sz w:val="30"/>
      <w:szCs w:val="30"/>
    </w:rPr>
  </w:style>
  <w:style w:type="paragraph" w:styleId="17">
    <w:name w:val="Heading 4"/>
    <w:basedOn w:val="465"/>
    <w:next w:val="465"/>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68"/>
    <w:link w:val="17"/>
    <w:uiPriority w:val="9"/>
    <w:rPr>
      <w:rFonts w:ascii="Arial" w:hAnsi="Arial" w:cs="Arial" w:eastAsia="Arial"/>
      <w:b/>
      <w:bCs/>
      <w:sz w:val="26"/>
      <w:szCs w:val="26"/>
    </w:rPr>
  </w:style>
  <w:style w:type="paragraph" w:styleId="19">
    <w:name w:val="Heading 5"/>
    <w:basedOn w:val="465"/>
    <w:next w:val="465"/>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68"/>
    <w:link w:val="19"/>
    <w:uiPriority w:val="9"/>
    <w:rPr>
      <w:rFonts w:ascii="Arial" w:hAnsi="Arial" w:cs="Arial" w:eastAsia="Arial"/>
      <w:b/>
      <w:bCs/>
      <w:sz w:val="24"/>
      <w:szCs w:val="24"/>
    </w:rPr>
  </w:style>
  <w:style w:type="paragraph" w:styleId="21">
    <w:name w:val="Heading 6"/>
    <w:basedOn w:val="465"/>
    <w:next w:val="465"/>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68"/>
    <w:link w:val="21"/>
    <w:uiPriority w:val="9"/>
    <w:rPr>
      <w:rFonts w:ascii="Arial" w:hAnsi="Arial" w:cs="Arial" w:eastAsia="Arial"/>
      <w:b/>
      <w:bCs/>
      <w:sz w:val="22"/>
      <w:szCs w:val="22"/>
    </w:rPr>
  </w:style>
  <w:style w:type="paragraph" w:styleId="23">
    <w:name w:val="Heading 7"/>
    <w:basedOn w:val="465"/>
    <w:next w:val="465"/>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68"/>
    <w:link w:val="23"/>
    <w:uiPriority w:val="9"/>
    <w:rPr>
      <w:rFonts w:ascii="Arial" w:hAnsi="Arial" w:cs="Arial" w:eastAsia="Arial"/>
      <w:b/>
      <w:bCs/>
      <w:i/>
      <w:iCs/>
      <w:sz w:val="22"/>
      <w:szCs w:val="22"/>
    </w:rPr>
  </w:style>
  <w:style w:type="paragraph" w:styleId="25">
    <w:name w:val="Heading 8"/>
    <w:basedOn w:val="465"/>
    <w:next w:val="465"/>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68"/>
    <w:link w:val="25"/>
    <w:uiPriority w:val="9"/>
    <w:rPr>
      <w:rFonts w:ascii="Arial" w:hAnsi="Arial" w:cs="Arial" w:eastAsia="Arial"/>
      <w:i/>
      <w:iCs/>
      <w:sz w:val="22"/>
      <w:szCs w:val="22"/>
    </w:rPr>
  </w:style>
  <w:style w:type="paragraph" w:styleId="27">
    <w:name w:val="Heading 9"/>
    <w:basedOn w:val="465"/>
    <w:next w:val="465"/>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68"/>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65"/>
    <w:next w:val="465"/>
    <w:link w:val="33"/>
    <w:qFormat/>
    <w:uiPriority w:val="10"/>
    <w:rPr>
      <w:sz w:val="48"/>
      <w:szCs w:val="48"/>
    </w:rPr>
    <w:pPr>
      <w:contextualSpacing w:val="true"/>
      <w:spacing w:after="200" w:before="300"/>
    </w:pPr>
  </w:style>
  <w:style w:type="character" w:styleId="33">
    <w:name w:val="Title Char"/>
    <w:basedOn w:val="468"/>
    <w:link w:val="32"/>
    <w:uiPriority w:val="10"/>
    <w:rPr>
      <w:sz w:val="48"/>
      <w:szCs w:val="48"/>
    </w:rPr>
  </w:style>
  <w:style w:type="paragraph" w:styleId="34">
    <w:name w:val="Subtitle"/>
    <w:basedOn w:val="465"/>
    <w:next w:val="465"/>
    <w:link w:val="35"/>
    <w:qFormat/>
    <w:uiPriority w:val="11"/>
    <w:rPr>
      <w:sz w:val="24"/>
      <w:szCs w:val="24"/>
    </w:rPr>
    <w:pPr>
      <w:spacing w:after="200" w:before="200"/>
    </w:pPr>
  </w:style>
  <w:style w:type="character" w:styleId="35">
    <w:name w:val="Subtitle Char"/>
    <w:basedOn w:val="468"/>
    <w:link w:val="34"/>
    <w:uiPriority w:val="11"/>
    <w:rPr>
      <w:sz w:val="24"/>
      <w:szCs w:val="24"/>
    </w:rPr>
  </w:style>
  <w:style w:type="paragraph" w:styleId="36">
    <w:name w:val="Quote"/>
    <w:basedOn w:val="465"/>
    <w:next w:val="465"/>
    <w:link w:val="37"/>
    <w:qFormat/>
    <w:uiPriority w:val="29"/>
    <w:rPr>
      <w:i/>
    </w:rPr>
    <w:pPr>
      <w:ind w:left="720" w:right="720"/>
    </w:pPr>
  </w:style>
  <w:style w:type="character" w:styleId="37">
    <w:name w:val="Quote Char"/>
    <w:link w:val="36"/>
    <w:uiPriority w:val="29"/>
    <w:rPr>
      <w:i/>
    </w:rPr>
  </w:style>
  <w:style w:type="paragraph" w:styleId="38">
    <w:name w:val="Intense Quote"/>
    <w:basedOn w:val="465"/>
    <w:next w:val="465"/>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68"/>
    <w:link w:val="508"/>
    <w:uiPriority w:val="99"/>
  </w:style>
  <w:style w:type="character" w:styleId="43">
    <w:name w:val="Footer Char"/>
    <w:basedOn w:val="468"/>
    <w:link w:val="505"/>
    <w:uiPriority w:val="99"/>
  </w:style>
  <w:style w:type="table" w:styleId="45">
    <w:name w:val="Table Grid Light"/>
    <w:basedOn w:val="46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6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6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6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6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6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6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6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6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6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6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6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6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6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6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6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6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6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6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6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6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6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6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6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6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6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6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6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6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6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6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6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6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6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6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6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6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6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6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6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6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6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6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6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6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6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6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6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6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6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6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6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6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6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6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6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6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6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6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6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6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6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6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6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6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6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6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6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6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6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6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6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6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6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6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6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6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6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6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6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6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6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6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6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6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6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6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6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6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6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6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6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6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6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6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6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6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6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6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6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6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6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6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6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6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6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6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6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6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6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6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6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6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10"/>
    <w:uiPriority w:val="99"/>
    <w:rPr>
      <w:sz w:val="18"/>
    </w:rPr>
  </w:style>
  <w:style w:type="character" w:styleId="173">
    <w:name w:val="footnote reference"/>
    <w:basedOn w:val="468"/>
    <w:uiPriority w:val="99"/>
    <w:unhideWhenUsed/>
    <w:rPr>
      <w:vertAlign w:val="superscript"/>
    </w:rPr>
  </w:style>
  <w:style w:type="paragraph" w:styleId="176">
    <w:name w:val="toc 3"/>
    <w:basedOn w:val="465"/>
    <w:next w:val="465"/>
    <w:uiPriority w:val="39"/>
    <w:unhideWhenUsed/>
    <w:pPr>
      <w:ind w:left="567" w:right="0" w:firstLine="0"/>
      <w:spacing w:after="57"/>
    </w:pPr>
  </w:style>
  <w:style w:type="paragraph" w:styleId="177">
    <w:name w:val="toc 4"/>
    <w:basedOn w:val="465"/>
    <w:next w:val="465"/>
    <w:uiPriority w:val="39"/>
    <w:unhideWhenUsed/>
    <w:pPr>
      <w:ind w:left="850" w:right="0" w:firstLine="0"/>
      <w:spacing w:after="57"/>
    </w:pPr>
  </w:style>
  <w:style w:type="paragraph" w:styleId="178">
    <w:name w:val="toc 5"/>
    <w:basedOn w:val="465"/>
    <w:next w:val="465"/>
    <w:uiPriority w:val="39"/>
    <w:unhideWhenUsed/>
    <w:pPr>
      <w:ind w:left="1134" w:right="0" w:firstLine="0"/>
      <w:spacing w:after="57"/>
    </w:pPr>
  </w:style>
  <w:style w:type="paragraph" w:styleId="179">
    <w:name w:val="toc 6"/>
    <w:basedOn w:val="465"/>
    <w:next w:val="465"/>
    <w:uiPriority w:val="39"/>
    <w:unhideWhenUsed/>
    <w:pPr>
      <w:ind w:left="1417" w:right="0" w:firstLine="0"/>
      <w:spacing w:after="57"/>
    </w:pPr>
  </w:style>
  <w:style w:type="paragraph" w:styleId="180">
    <w:name w:val="toc 7"/>
    <w:basedOn w:val="465"/>
    <w:next w:val="465"/>
    <w:uiPriority w:val="39"/>
    <w:unhideWhenUsed/>
    <w:pPr>
      <w:ind w:left="1701" w:right="0" w:firstLine="0"/>
      <w:spacing w:after="57"/>
    </w:pPr>
  </w:style>
  <w:style w:type="paragraph" w:styleId="181">
    <w:name w:val="toc 8"/>
    <w:basedOn w:val="465"/>
    <w:next w:val="465"/>
    <w:uiPriority w:val="39"/>
    <w:unhideWhenUsed/>
    <w:pPr>
      <w:ind w:left="1984" w:right="0" w:firstLine="0"/>
      <w:spacing w:after="57"/>
    </w:pPr>
  </w:style>
  <w:style w:type="paragraph" w:styleId="182">
    <w:name w:val="toc 9"/>
    <w:basedOn w:val="465"/>
    <w:next w:val="465"/>
    <w:uiPriority w:val="39"/>
    <w:unhideWhenUsed/>
    <w:pPr>
      <w:ind w:left="2268" w:right="0" w:firstLine="0"/>
      <w:spacing w:after="57"/>
    </w:pPr>
  </w:style>
  <w:style w:type="paragraph" w:styleId="183">
    <w:name w:val="TOC Heading"/>
    <w:uiPriority w:val="39"/>
    <w:unhideWhenUsed/>
  </w:style>
  <w:style w:type="paragraph" w:styleId="465" w:default="1">
    <w:name w:val="Normal"/>
    <w:qFormat/>
    <w:rPr>
      <w:rFonts w:ascii="Calibri" w:hAnsi="Calibri" w:cs="Times New Roman"/>
      <w:color w:val="333333"/>
      <w:sz w:val="24"/>
      <w:szCs w:val="24"/>
      <w:lang w:eastAsia="es-ES"/>
    </w:rPr>
    <w:pPr>
      <w:jc w:val="both"/>
      <w:spacing w:lineRule="auto" w:line="360" w:after="0"/>
    </w:pPr>
  </w:style>
  <w:style w:type="paragraph" w:styleId="466">
    <w:name w:val="Heading 1"/>
    <w:next w:val="465"/>
    <w:link w:val="479"/>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67">
    <w:name w:val="Heading 2"/>
    <w:basedOn w:val="465"/>
    <w:next w:val="465"/>
    <w:link w:val="481"/>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68" w:default="1">
    <w:name w:val="Default Paragraph Font"/>
    <w:uiPriority w:val="1"/>
    <w:semiHidden/>
    <w:unhideWhenUsed/>
  </w:style>
  <w:style w:type="table" w:styleId="469" w:default="1">
    <w:name w:val="Normal Table"/>
    <w:uiPriority w:val="99"/>
    <w:semiHidden/>
    <w:unhideWhenUsed/>
    <w:tblPr>
      <w:tblInd w:w="0" w:type="dxa"/>
      <w:tblCellMar>
        <w:left w:w="108" w:type="dxa"/>
        <w:top w:w="0" w:type="dxa"/>
        <w:right w:w="108" w:type="dxa"/>
        <w:bottom w:w="0" w:type="dxa"/>
      </w:tblCellMar>
    </w:tblPr>
  </w:style>
  <w:style w:type="numbering" w:styleId="470" w:default="1">
    <w:name w:val="No List"/>
    <w:uiPriority w:val="99"/>
    <w:semiHidden/>
    <w:unhideWhenUsed/>
  </w:style>
  <w:style w:type="paragraph" w:styleId="471" w:customStyle="1">
    <w:name w:val="Pie de página_Secciones"/>
    <w:basedOn w:val="465"/>
    <w:qFormat/>
    <w:uiPriority w:val="19"/>
    <w:rPr>
      <w:rFonts w:cs="UnitOT-Light"/>
      <w:bCs/>
      <w:color w:val="0098CD"/>
      <w:sz w:val="20"/>
      <w:szCs w:val="20"/>
    </w:rPr>
    <w:pPr>
      <w:jc w:val="right"/>
      <w:spacing w:lineRule="auto" w:line="240" w:after="100"/>
      <w:tabs>
        <w:tab w:val="right" w:pos="8220" w:leader="none"/>
      </w:tabs>
    </w:pPr>
  </w:style>
  <w:style w:type="paragraph" w:styleId="472" w:customStyle="1">
    <w:name w:val="Pie de página_Asignatura"/>
    <w:basedOn w:val="465"/>
    <w:qFormat/>
    <w:uiPriority w:val="18"/>
    <w:rPr>
      <w:rFonts w:cs="UnitOT-Light"/>
      <w:bCs/>
      <w:color w:val="777777"/>
      <w:sz w:val="20"/>
      <w:szCs w:val="20"/>
    </w:rPr>
    <w:pPr>
      <w:ind w:firstLine="3686"/>
      <w:jc w:val="right"/>
      <w:spacing w:lineRule="auto" w:line="276"/>
    </w:pPr>
  </w:style>
  <w:style w:type="paragraph" w:styleId="473" w:customStyle="1">
    <w:name w:val="Pie de página_UNIR(c)"/>
    <w:basedOn w:val="472"/>
    <w:qFormat/>
    <w:uiPriority w:val="20"/>
    <w:rPr>
      <w:rFonts w:ascii="Calibri Light" w:hAnsi="Calibri Light"/>
      <w:spacing w:val="-4"/>
      <w:sz w:val="18"/>
      <w:szCs w:val="18"/>
    </w:rPr>
    <w:pPr>
      <w:ind w:firstLine="0"/>
    </w:pPr>
  </w:style>
  <w:style w:type="paragraph" w:styleId="474" w:customStyle="1">
    <w:name w:val="Nº tema"/>
    <w:basedOn w:val="484"/>
    <w:next w:val="465"/>
    <w:qFormat/>
    <w:uiPriority w:val="1"/>
    <w:pPr>
      <w:spacing w:lineRule="auto" w:line="240"/>
    </w:pPr>
  </w:style>
  <w:style w:type="character" w:styleId="475">
    <w:name w:val="Hyperlink"/>
    <w:basedOn w:val="468"/>
    <w:uiPriority w:val="99"/>
    <w:unhideWhenUsed/>
    <w:rPr>
      <w:rFonts w:ascii="Calibri" w:hAnsi="Calibri"/>
      <w:color w:val="0098CD" w:themeColor="hyperlink"/>
      <w:sz w:val="24"/>
      <w:u w:val="single"/>
    </w:rPr>
  </w:style>
  <w:style w:type="paragraph" w:styleId="476" w:customStyle="1">
    <w:name w:val="Nota al pie"/>
    <w:basedOn w:val="465"/>
    <w:qFormat/>
    <w:uiPriority w:val="21"/>
    <w:rPr>
      <w:sz w:val="16"/>
      <w:szCs w:val="14"/>
    </w:rPr>
  </w:style>
  <w:style w:type="numbering" w:styleId="477" w:customStyle="1">
    <w:name w:val="ViñetasUNIR"/>
    <w:basedOn w:val="470"/>
    <w:uiPriority w:val="99"/>
    <w:pPr>
      <w:numPr>
        <w:numId w:val="1"/>
      </w:numPr>
    </w:pPr>
  </w:style>
  <w:style w:type="paragraph" w:styleId="478" w:customStyle="1">
    <w:name w:val="Pie de foto-tabla"/>
    <w:basedOn w:val="465"/>
    <w:next w:val="465"/>
    <w:qFormat/>
    <w:uiPriority w:val="16"/>
    <w:rPr>
      <w:rFonts w:cs="UnitOT-Light"/>
      <w:iCs/>
      <w:color w:val="595959" w:themeColor="text1" w:themeTint="A6"/>
      <w:sz w:val="19"/>
      <w:szCs w:val="18"/>
    </w:rPr>
    <w:pPr>
      <w:ind w:left="-113" w:right="-215"/>
      <w:jc w:val="center"/>
      <w:spacing w:lineRule="auto" w:line="276" w:before="120"/>
    </w:pPr>
  </w:style>
  <w:style w:type="character" w:styleId="479" w:customStyle="1">
    <w:name w:val="Título 1 Car"/>
    <w:basedOn w:val="468"/>
    <w:link w:val="466"/>
    <w:uiPriority w:val="99"/>
    <w:semiHidden/>
    <w:rPr>
      <w:rFonts w:ascii="Georgia" w:hAnsi="Georgia" w:cs="Calibri Light" w:eastAsia="Calibri Light"/>
      <w:sz w:val="51"/>
      <w:szCs w:val="32"/>
      <w:lang w:eastAsia="es-ES"/>
    </w:rPr>
  </w:style>
  <w:style w:type="paragraph" w:styleId="480">
    <w:name w:val="List Paragraph"/>
    <w:basedOn w:val="465"/>
    <w:qFormat/>
    <w:uiPriority w:val="98"/>
    <w:pPr>
      <w:contextualSpacing w:val="true"/>
      <w:ind w:left="720"/>
    </w:pPr>
  </w:style>
  <w:style w:type="character" w:styleId="481" w:customStyle="1">
    <w:name w:val="Título 2 Car"/>
    <w:basedOn w:val="468"/>
    <w:link w:val="467"/>
    <w:uiPriority w:val="99"/>
    <w:semiHidden/>
    <w:rPr>
      <w:rFonts w:ascii="Calibri Light" w:hAnsi="Calibri Light" w:cs="Calibri Light" w:eastAsia="Calibri Light"/>
      <w:color w:val="2E74B5" w:themeColor="accent1" w:themeShade="BF"/>
      <w:sz w:val="26"/>
      <w:szCs w:val="26"/>
      <w:lang w:eastAsia="es-ES"/>
    </w:rPr>
  </w:style>
  <w:style w:type="paragraph" w:styleId="482" w:customStyle="1">
    <w:name w:val="Citas"/>
    <w:basedOn w:val="465"/>
    <w:next w:val="465"/>
    <w:qFormat/>
    <w:uiPriority w:val="15"/>
    <w:rPr>
      <w:rFonts w:cs="UnitOT-Light"/>
      <w:szCs w:val="22"/>
    </w:rPr>
    <w:pPr>
      <w:ind w:left="851"/>
      <w:spacing w:lineRule="auto" w:line="240"/>
    </w:pPr>
  </w:style>
  <w:style w:type="table" w:styleId="483">
    <w:name w:val="Table Grid"/>
    <w:basedOn w:val="469"/>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84" w:customStyle="1">
    <w:name w:val="Título Asignatura"/>
    <w:basedOn w:val="465"/>
    <w:qFormat/>
    <w:uiPriority w:val="2"/>
    <w:rPr>
      <w:rFonts w:ascii="Calibri Light" w:hAnsi="Calibri Light"/>
      <w:color w:val="777777"/>
      <w:sz w:val="40"/>
      <w:szCs w:val="40"/>
    </w:rPr>
    <w:pPr>
      <w:jc w:val="right"/>
      <w:spacing w:lineRule="auto" w:line="276"/>
    </w:pPr>
  </w:style>
  <w:style w:type="paragraph" w:styleId="485" w:customStyle="1">
    <w:name w:val="Título Tema"/>
    <w:basedOn w:val="465"/>
    <w:qFormat/>
    <w:uiPriority w:val="3"/>
    <w:rPr>
      <w:rFonts w:ascii="Calibri Light" w:hAnsi="Calibri Light"/>
      <w:color w:val="0098CD"/>
      <w:sz w:val="84"/>
      <w:szCs w:val="84"/>
    </w:rPr>
    <w:pPr>
      <w:jc w:val="right"/>
      <w:spacing w:lineRule="auto" w:line="240"/>
    </w:pPr>
  </w:style>
  <w:style w:type="paragraph" w:styleId="486" w:customStyle="1">
    <w:name w:val="Sección Índice"/>
    <w:basedOn w:val="487"/>
    <w:next w:val="465"/>
    <w:qFormat/>
    <w:uiPriority w:val="4"/>
    <w:pPr>
      <w:ind w:left="284"/>
      <w:jc w:val="left"/>
      <w:spacing w:after="0"/>
      <w:outlineLvl w:val="9"/>
    </w:pPr>
  </w:style>
  <w:style w:type="paragraph" w:styleId="487" w:customStyle="1">
    <w:name w:val="Secciones Nivel"/>
    <w:basedOn w:val="465"/>
    <w:next w:val="465"/>
    <w:qFormat/>
    <w:uiPriority w:val="5"/>
    <w:rPr>
      <w:rFonts w:ascii="Calibri Light" w:hAnsi="Calibri Light" w:cs="Arial"/>
      <w:color w:val="0098CD"/>
      <w:sz w:val="56"/>
      <w:szCs w:val="56"/>
    </w:rPr>
    <w:pPr>
      <w:jc w:val="right"/>
      <w:spacing w:after="360"/>
      <w:outlineLvl w:val="0"/>
    </w:pPr>
  </w:style>
  <w:style w:type="paragraph" w:styleId="488" w:customStyle="1">
    <w:name w:val="Titulo Apartado 1"/>
    <w:basedOn w:val="485"/>
    <w:next w:val="465"/>
    <w:qFormat/>
    <w:uiPriority w:val="6"/>
    <w:rPr>
      <w:rFonts w:ascii="Calibri" w:hAnsi="Calibri"/>
      <w:sz w:val="40"/>
      <w:szCs w:val="40"/>
    </w:rPr>
    <w:pPr>
      <w:jc w:val="left"/>
      <w:spacing w:lineRule="auto" w:line="360"/>
      <w:outlineLvl w:val="1"/>
    </w:pPr>
  </w:style>
  <w:style w:type="paragraph" w:styleId="489" w:customStyle="1">
    <w:name w:val="Destacados"/>
    <w:basedOn w:val="488"/>
    <w:next w:val="465"/>
    <w:qFormat/>
    <w:uiPriority w:val="12"/>
    <w:rPr>
      <w:sz w:val="24"/>
      <w:szCs w:val="22"/>
    </w:rPr>
    <w:pPr>
      <w:ind w:left="284" w:right="281"/>
      <w:jc w:val="center"/>
      <w:outlineLvl w:val="9"/>
    </w:pPr>
  </w:style>
  <w:style w:type="paragraph" w:styleId="490" w:customStyle="1">
    <w:name w:val="Título Apartado 2"/>
    <w:basedOn w:val="465"/>
    <w:next w:val="465"/>
    <w:qFormat/>
    <w:uiPriority w:val="8"/>
    <w:rPr>
      <w:color w:val="0098CD"/>
      <w:sz w:val="28"/>
      <w:szCs w:val="26"/>
    </w:rPr>
  </w:style>
  <w:style w:type="paragraph" w:styleId="491" w:customStyle="1">
    <w:name w:val="Título Apartado 3"/>
    <w:basedOn w:val="465"/>
    <w:next w:val="465"/>
    <w:qFormat/>
    <w:uiPriority w:val="9"/>
    <w:rPr>
      <w:rFonts w:cs="UnitOT-Medi"/>
      <w:b/>
    </w:rPr>
  </w:style>
  <w:style w:type="numbering" w:styleId="492" w:customStyle="1">
    <w:name w:val="Numeración Test"/>
    <w:uiPriority w:val="99"/>
    <w:pPr>
      <w:numPr>
        <w:numId w:val="7"/>
      </w:numPr>
    </w:pPr>
  </w:style>
  <w:style w:type="paragraph" w:styleId="493" w:customStyle="1">
    <w:name w:val="Cuadro «Cómo estudiar» y Referencias"/>
    <w:basedOn w:val="465"/>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494" w:customStyle="1">
    <w:name w:val="Cuadro enlace"/>
    <w:basedOn w:val="465"/>
    <w:qFormat/>
    <w:uiPriority w:val="11"/>
    <w:rPr>
      <w:rFonts w:cs="UnitOT-Light"/>
      <w:szCs w:val="22"/>
    </w:rPr>
    <w:pPr>
      <w:jc w:val="center"/>
      <w:pBdr>
        <w:top w:val="single" w:color="0098CD" w:sz="4" w:space="4"/>
        <w:bottom w:val="single" w:color="0098CD" w:sz="4" w:space="0"/>
      </w:pBdr>
    </w:pPr>
  </w:style>
  <w:style w:type="paragraph" w:styleId="495">
    <w:name w:val="toc 1"/>
    <w:basedOn w:val="465"/>
    <w:next w:val="465"/>
    <w:uiPriority w:val="39"/>
    <w:unhideWhenUsed/>
    <w:rPr>
      <w:color w:val="008FBE"/>
    </w:rPr>
    <w:pPr>
      <w:ind w:left="284"/>
      <w:jc w:val="left"/>
      <w:spacing w:before="120"/>
      <w:tabs>
        <w:tab w:val="right" w:pos="5810" w:leader="none"/>
      </w:tabs>
    </w:pPr>
  </w:style>
  <w:style w:type="paragraph" w:styleId="496">
    <w:name w:val="toc 2"/>
    <w:basedOn w:val="465"/>
    <w:next w:val="465"/>
    <w:uiPriority w:val="39"/>
    <w:unhideWhenUsed/>
    <w:pPr>
      <w:ind w:left="567"/>
      <w:jc w:val="left"/>
      <w:tabs>
        <w:tab w:val="right" w:pos="5952" w:leader="none"/>
      </w:tabs>
    </w:pPr>
  </w:style>
  <w:style w:type="paragraph" w:styleId="497" w:customStyle="1">
    <w:name w:val="Título Apartado 1_sin nivel"/>
    <w:basedOn w:val="488"/>
    <w:next w:val="465"/>
    <w:qFormat/>
    <w:uiPriority w:val="7"/>
    <w:pPr>
      <w:outlineLvl w:val="9"/>
    </w:pPr>
  </w:style>
  <w:style w:type="table" w:styleId="498" w:customStyle="1">
    <w:name w:val="TablaUNIR_1"/>
    <w:basedOn w:val="507"/>
    <w:uiPriority w:val="99"/>
    <w:tblPr>
      <w:tblStyleColBandSize w:val="1"/>
    </w:tblPr>
    <w:tblStylePr w:type="band1Vert">
      <w:rPr>
        <w:rFonts w:ascii="Adobe Fangsong Std R" w:hAnsi="Adobe Fangsong Std R"/>
        <w:color w:val="4D4D4D"/>
        <w:sz w:val="20"/>
      </w:rPr>
      <w:pPr>
        <w:jc w:val="center"/>
      </w:pPr>
      <w:tcPr>
        <w:vAlign w:val="center"/>
      </w:tcPr>
    </w:tblStylePr>
    <w:tblStylePr w:type="firstRow">
      <w:rPr>
        <w:rFonts w:ascii="@Adobe Fangsong Std R" w:hAnsi="@Adobe Fangsong Std R"/>
        <w:color w:val="FFFFFF" w:themeColor="background1"/>
        <w:sz w:val="20"/>
      </w:rPr>
      <w:tcPr>
        <w:shd w:val="clear" w:color="auto" w:fill="0098CD"/>
      </w:tcPr>
    </w:tblStylePr>
  </w:style>
  <w:style w:type="table" w:styleId="499" w:customStyle="1">
    <w:name w:val="TablaUNIR_2"/>
    <w:basedOn w:val="469"/>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Adobe Fangsong Std R" w:hAnsi="@Adobe Fangsong Std R"/>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Adobe Fangsong Std R" w:hAnsi="@Adobe Fangsong Std R"/>
        <w:color w:val="F8F8F8"/>
        <w:sz w:val="20"/>
      </w:rPr>
      <w:pPr>
        <w:jc w:val="center"/>
      </w:pPr>
      <w:tcPr>
        <w:shd w:val="clear" w:color="auto" w:fill="0098CD"/>
      </w:tcPr>
    </w:tblStylePr>
  </w:style>
  <w:style w:type="table" w:styleId="500" w:customStyle="1">
    <w:name w:val="TablaUNIR_3"/>
    <w:basedOn w:val="469"/>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Adobe Fangsong Std R" w:hAnsi="@Adobe Fangsong Std R"/>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501" w:customStyle="1">
    <w:name w:val="TablaUNIR_4"/>
    <w:basedOn w:val="469"/>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Adobe Fangsong Std R" w:hAnsi="@Adobe Fangsong Std R"/>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502" w:customStyle="1">
    <w:name w:val="Ejemplos"/>
    <w:basedOn w:val="465"/>
    <w:qFormat/>
    <w:uiPriority w:val="22"/>
    <w:rPr>
      <w:rFonts w:cs="UnitOT-Light"/>
      <w:color w:val="595959" w:themeColor="text1" w:themeTint="A6"/>
      <w:szCs w:val="22"/>
    </w:rPr>
    <w:pPr>
      <w:ind w:left="284" w:right="284"/>
      <w:spacing w:lineRule="auto" w:line="276"/>
    </w:pPr>
  </w:style>
  <w:style w:type="table" w:styleId="503" w:customStyle="1">
    <w:name w:val="Tabla ejemplos UNIR"/>
    <w:basedOn w:val="469"/>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04" w:customStyle="1">
    <w:name w:val="ViñetasUNIR_combinada"/>
    <w:uiPriority w:val="99"/>
    <w:pPr>
      <w:numPr>
        <w:numId w:val="9"/>
      </w:numPr>
    </w:pPr>
  </w:style>
  <w:style w:type="paragraph" w:styleId="505">
    <w:name w:val="Footer"/>
    <w:basedOn w:val="465"/>
    <w:link w:val="506"/>
    <w:qFormat/>
    <w:unhideWhenUsed/>
    <w:pPr>
      <w:spacing w:lineRule="auto" w:line="240"/>
      <w:tabs>
        <w:tab w:val="center" w:pos="4252" w:leader="none"/>
        <w:tab w:val="right" w:pos="8504" w:leader="none"/>
      </w:tabs>
    </w:pPr>
  </w:style>
  <w:style w:type="character" w:styleId="506" w:customStyle="1">
    <w:name w:val="Pie de página Car"/>
    <w:basedOn w:val="468"/>
    <w:link w:val="505"/>
    <w:rPr>
      <w:rFonts w:ascii="Calibri" w:hAnsi="Calibri" w:cs="Times New Roman"/>
      <w:color w:val="333333"/>
      <w:sz w:val="24"/>
      <w:szCs w:val="24"/>
      <w:lang w:eastAsia="es-ES"/>
    </w:rPr>
  </w:style>
  <w:style w:type="table" w:styleId="507" w:customStyle="1">
    <w:name w:val="UNIR"/>
    <w:basedOn w:val="469"/>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08">
    <w:name w:val="Header"/>
    <w:basedOn w:val="465"/>
    <w:link w:val="509"/>
    <w:qFormat/>
    <w:uiPriority w:val="99"/>
    <w:semiHidden/>
    <w:pPr>
      <w:spacing w:lineRule="auto" w:line="240"/>
      <w:tabs>
        <w:tab w:val="center" w:pos="4252" w:leader="none"/>
        <w:tab w:val="right" w:pos="8504" w:leader="none"/>
      </w:tabs>
    </w:pPr>
  </w:style>
  <w:style w:type="character" w:styleId="509" w:customStyle="1">
    <w:name w:val="Encabezado Car"/>
    <w:basedOn w:val="468"/>
    <w:link w:val="508"/>
    <w:uiPriority w:val="99"/>
    <w:semiHidden/>
    <w:rPr>
      <w:rFonts w:ascii="Calibri" w:hAnsi="Calibri" w:cs="Times New Roman"/>
      <w:color w:val="333333"/>
      <w:sz w:val="24"/>
      <w:szCs w:val="24"/>
      <w:lang w:eastAsia="es-ES"/>
    </w:rPr>
  </w:style>
  <w:style w:type="paragraph" w:styleId="510">
    <w:name w:val="footnote text"/>
    <w:basedOn w:val="465"/>
    <w:link w:val="511"/>
    <w:uiPriority w:val="99"/>
    <w:semiHidden/>
    <w:rPr>
      <w:sz w:val="20"/>
      <w:szCs w:val="20"/>
    </w:rPr>
    <w:pPr>
      <w:spacing w:lineRule="auto" w:line="240"/>
    </w:pPr>
  </w:style>
  <w:style w:type="character" w:styleId="511" w:customStyle="1">
    <w:name w:val="Texto nota pie Car"/>
    <w:basedOn w:val="468"/>
    <w:link w:val="510"/>
    <w:uiPriority w:val="99"/>
    <w:semiHidden/>
    <w:rPr>
      <w:rFonts w:ascii="Calibri" w:hAnsi="Calibri" w:cs="Times New Roman"/>
      <w:color w:val="333333"/>
      <w:sz w:val="20"/>
      <w:szCs w:val="20"/>
      <w:lang w:eastAsia="es-ES"/>
    </w:rPr>
  </w:style>
  <w:style w:type="character" w:styleId="512">
    <w:name w:val="Unresolved Mention"/>
    <w:basedOn w:val="468"/>
    <w:uiPriority w:val="99"/>
    <w:semiHidden/>
    <w:unhideWhenUsed/>
    <w:rPr>
      <w:color w:val="808080"/>
      <w:shd w:val="clear" w:color="auto" w:fill="E6E6E6"/>
    </w:rPr>
  </w:style>
  <w:style w:type="paragraph" w:styleId="513" w:customStyle="1">
    <w:name w:val="Pie de foto"/>
    <w:basedOn w:val="465"/>
    <w:qFormat/>
    <w:uiPriority w:val="16"/>
    <w:rPr>
      <w:rFonts w:cs="UnitOT-Light"/>
      <w:iCs/>
      <w:color w:val="595959" w:themeColor="text1" w:themeTint="A6"/>
      <w:sz w:val="19"/>
      <w:szCs w:val="18"/>
    </w:rPr>
    <w:pPr>
      <w:ind w:left="279" w:right="288"/>
      <w:jc w:val="center"/>
      <w:spacing w:lineRule="auto" w:line="276" w:after="200" w:before="120"/>
    </w:pPr>
  </w:style>
  <w:style w:type="character" w:styleId="514">
    <w:name w:val="Strong"/>
    <w:basedOn w:val="468"/>
    <w:qFormat/>
    <w:uiPriority w:val="22"/>
    <w:rPr>
      <w:b/>
      <w:bCs/>
    </w:rPr>
  </w:style>
  <w:style w:type="paragraph" w:styleId="515">
    <w:name w:val="caption"/>
    <w:basedOn w:val="465"/>
    <w:next w:val="465"/>
    <w:qFormat/>
    <w:uiPriority w:val="35"/>
    <w:unhideWhenUsed/>
    <w:rPr>
      <w:i/>
      <w:iCs/>
      <w:color w:val="44546A" w:themeColor="text2"/>
      <w:sz w:val="18"/>
      <w:szCs w:val="18"/>
    </w:rPr>
    <w:pPr>
      <w:spacing w:lineRule="auto" w:line="240" w:after="200"/>
    </w:pPr>
  </w:style>
  <w:style w:type="character" w:styleId="516">
    <w:name w:val="FollowedHyperlink"/>
    <w:basedOn w:val="468"/>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footer" Target="footer1.xml" /><Relationship Id="rId9" Type="http://schemas.openxmlformats.org/officeDocument/2006/relationships/footer" Target="footer2.xml" /><Relationship Id="rId10" Type="http://schemas.openxmlformats.org/officeDocument/2006/relationships/footer" Target="footer3.xml" /><Relationship Id="rId11" Type="http://schemas.openxmlformats.org/officeDocument/2006/relationships/footer" Target="footer4.xml" /><Relationship Id="rId12" Type="http://schemas.openxmlformats.org/officeDocument/2006/relationships/footer" Target="footer5.xml" /><Relationship Id="rId13" Type="http://schemas.openxmlformats.org/officeDocument/2006/relationships/footer" Target="footer6.xml" /><Relationship Id="rId14" Type="http://schemas.openxmlformats.org/officeDocument/2006/relationships/footer" Target="footer7.xml" /><Relationship Id="rId15" Type="http://schemas.openxmlformats.org/officeDocument/2006/relationships/footer" Target="footer8.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hyperlink" Target="https://www.aenor.com/asociacindocumentos/info-apoyo/calidad/17-%20Ventajas%20del%20certificado%20IS0%2025000%20jun-18.pdf" TargetMode="External"/><Relationship Id="rId31" Type="http://schemas.openxmlformats.org/officeDocument/2006/relationships/hyperlink" Target="https://www.aenor.com/certificacion/tecnologias-de-la-informacion/producto-software" TargetMode="External"/><Relationship Id="rId32" Type="http://schemas.openxmlformats.org/officeDocument/2006/relationships/hyperlink" Target="https://www.castsoftware.com/blog/titanic-dilemma-the-seen-versus-the-unseen" TargetMode="External"/><Relationship Id="rId33" Type="http://schemas.openxmlformats.org/officeDocument/2006/relationships/hyperlink" Target="https://doi.org/10.18041/entramado.2017v13n1.25125" TargetMode="External"/><Relationship Id="rId34" Type="http://schemas.openxmlformats.org/officeDocument/2006/relationships/hyperlink" Target="https://it-cisq.org/" TargetMode="External"/><Relationship Id="rId35" Type="http://schemas.openxmlformats.org/officeDocument/2006/relationships/hyperlink" Target="http://www.javiergarzas.com/2013/11/estandar-de-calidad-del-producto-software-cisq.html" TargetMode="External"/><Relationship Id="rId36" Type="http://schemas.openxmlformats.org/officeDocument/2006/relationships/hyperlink" Target="https://www.iso.org/standard/43046.html" TargetMode="External"/><Relationship Id="rId37" Type="http://schemas.openxmlformats.org/officeDocument/2006/relationships/hyperlink" Target="https://www.iso.org/standard/35744.html" TargetMode="External"/><Relationship Id="rId38" Type="http://schemas.openxmlformats.org/officeDocument/2006/relationships/hyperlink" Target="https://www.iso.org/standard/35736.html" TargetMode="External"/><Relationship Id="rId39" Type="http://schemas.openxmlformats.org/officeDocument/2006/relationships/hyperlink" Target="https://www.iso.org/standard/35733.html" TargetMode="External"/><Relationship Id="rId40" Type="http://schemas.openxmlformats.org/officeDocument/2006/relationships/hyperlink" Target="https://www.iso.org/standard/64764.html" TargetMode="External"/><Relationship Id="rId41" Type="http://schemas.openxmlformats.org/officeDocument/2006/relationships/hyperlink" Target="https://www.iso.org/standard/61579.html" TargetMode="External"/><Relationship Id="rId42" Type="http://schemas.openxmlformats.org/officeDocument/2006/relationships/hyperlink" Target="https://www.iso.org/standard/45481.html" TargetMode="External"/><Relationship Id="rId43" Type="http://schemas.openxmlformats.org/officeDocument/2006/relationships/hyperlink" Target="https://www.iso.org/standard/35746.html" TargetMode="External"/><Relationship Id="rId44" Type="http://schemas.openxmlformats.org/officeDocument/2006/relationships/hyperlink" Target="https://www.iso.org/standard/35747.html" TargetMode="External"/><Relationship Id="rId45" Type="http://schemas.openxmlformats.org/officeDocument/2006/relationships/hyperlink" Target="https://www.iso.org/ics/35.080/x/" TargetMode="External"/><Relationship Id="rId46" Type="http://schemas.openxmlformats.org/officeDocument/2006/relationships/hyperlink" Target="http://iso25000.com/" TargetMode="External"/><Relationship Id="rId47" Type="http://schemas.openxmlformats.org/officeDocument/2006/relationships/hyperlink" Target="http://iso25000.com/index.php/en/product-evaluation/process" TargetMode="External"/><Relationship Id="rId48" Type="http://schemas.openxmlformats.org/officeDocument/2006/relationships/hyperlink" Target="http://iso25000.com/index.php/en/product-evaluation/ecosystem" TargetMode="External"/><Relationship Id="rId49" Type="http://schemas.openxmlformats.org/officeDocument/2006/relationships/hyperlink" Target="https://www.kiuwan.com/es/" TargetMode="External"/><Relationship Id="rId50" Type="http://schemas.openxmlformats.org/officeDocument/2006/relationships/hyperlink" Target="https://doi.org/10.1109/MC.2008.37" TargetMode="External"/><Relationship Id="rId51" Type="http://schemas.openxmlformats.org/officeDocument/2006/relationships/hyperlink" Target="https://doi.org/10.21236/ADA049015" TargetMode="External"/><Relationship Id="rId52" Type="http://schemas.openxmlformats.org/officeDocument/2006/relationships/hyperlink" Target="https://doi.org/10.21236/ADA049014" TargetMode="External"/><Relationship Id="rId53" Type="http://schemas.openxmlformats.org/officeDocument/2006/relationships/hyperlink" Target="http://dle.rae.es/?w=calidad" TargetMode="External"/><Relationship Id="rId54" Type="http://schemas.openxmlformats.org/officeDocument/2006/relationships/hyperlink" Target="https://dialnet.unirioja.es/descarga/articulo/5123569.pdf" TargetMode="External"/><Relationship Id="rId55" Type="http://schemas.openxmlformats.org/officeDocument/2006/relationships/hyperlink" Target="https://www.sonarqube.org/" TargetMode="External"/><Relationship Id="rId56" Type="http://schemas.openxmlformats.org/officeDocument/2006/relationships/hyperlink" Target="https://xbosoft.com/software-quality-metrics/" TargetMode="External"/><Relationship Id="rId57" Type="http://schemas.openxmlformats.org/officeDocument/2006/relationships/image" Target="media/image15.jp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18.png"/><Relationship Id="rId61" Type="http://schemas.openxmlformats.org/officeDocument/2006/relationships/hyperlink" Target="https://youtu.be/CWbftDKbyyo" TargetMode="External"/><Relationship Id="rId62" Type="http://schemas.openxmlformats.org/officeDocument/2006/relationships/hyperlink" Target="https://argentesting.com/webinars/" TargetMode="External"/><Relationship Id="rId63" Type="http://schemas.openxmlformats.org/officeDocument/2006/relationships/hyperlink" Target="https://eprints.ucm.es/33446/"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17</cp:revision>
  <dcterms:created xsi:type="dcterms:W3CDTF">2017-09-19T14:25:00Z</dcterms:created>
  <dcterms:modified xsi:type="dcterms:W3CDTF">2019-12-02T16:13:26Z</dcterms:modified>
</cp:coreProperties>
</file>