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F70"/>
          <w:sz w:val="76"/>
        </w:rPr>
        <w:t>APEX</w:t>
      </w:r>
      <w:r>
        <w:rPr>
          <w:b/>
          <w:color w:val="123A5A"/>
          <w:sz w:val="44"/>
        </w:rPr>
        <w:br/>
        <w:t>GOVERNANCE BLUEPRINT</w:t>
      </w:r>
      <w:r>
        <w:rPr>
          <w:color w:val="546473"/>
          <w:sz w:val="24"/>
        </w:rPr>
        <w:br/>
        <w:t>Constitución, arquitectura y plan de construcción</w:t>
      </w:r>
    </w:p>
    <w:p>
      <w:pPr>
        <w:jc w:val="center"/>
      </w:pPr>
      <w:r>
        <w:rPr>
          <w:b w:val="0"/>
          <w:color w:val="607080"/>
          <w:sz w:val="20"/>
        </w:rPr>
        <w:t>Versión 1.0  |  Mission Control 1.3 Governance Foundation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A"/>
            <w:vAlign w:val="center"/>
          </w:tcPr>
          <w:p>
            <w:pPr>
              <w:jc w:val="center"/>
            </w:pPr>
            <w:r>
              <w:rPr>
                <w:b/>
                <w:color w:val="0C5B78"/>
                <w:sz w:val="26"/>
              </w:rPr>
              <w:t>“Radical en la búsqueda. Frío en la validación. Implacable protegiendo capital.”</w:t>
            </w:r>
          </w:p>
        </w:tc>
      </w:tr>
    </w:tbl>
    <w:p>
      <w:pPr>
        <w:pStyle w:val="Heading1"/>
      </w:pPr>
      <w:r>
        <w:rPr>
          <w:b w:val="0"/>
        </w:rPr>
        <w:t>1. Decisión fundacional</w:t>
      </w:r>
    </w:p>
    <w:p>
      <w:r>
        <w:rPr>
          <w:b w:val="0"/>
        </w:rPr>
        <w:t>APEX administrará de forma autónoma hasta el 5% del capital total. Ese 5% es un presupuesto de independencia, no un porcentaje de pérdida tolerable. Cada operación conserva límites propios de riesgo, exposición, liquidez e invalidación.</w:t>
      </w:r>
    </w:p>
    <w:p>
      <w:r>
        <w:rPr>
          <w:b w:val="0"/>
        </w:rPr>
        <w:t>La autonomía se audita a sí misma. El Governance Engine puede mantenerla, reducirla o suspenderla. No puede superar el techo humano vigente ni reescribir la Constitución.</w:t>
      </w:r>
    </w:p>
    <w:p>
      <w:pPr>
        <w:pStyle w:val="Heading1"/>
      </w:pPr>
      <w:r>
        <w:rPr>
          <w:b w:val="0"/>
        </w:rPr>
        <w:t>2. Constitución de APEX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3389"/>
            <w:shd w:fill="F2F7F9"/>
          </w:tcPr>
          <w:p>
            <w:r>
              <w:t>I</w:t>
            </w:r>
          </w:p>
        </w:tc>
        <w:tc>
          <w:tcPr>
            <w:tcW w:type="dxa" w:w="3389"/>
            <w:shd w:fill="F2F7F9"/>
          </w:tcPr>
          <w:p>
            <w:r>
              <w:t>Preservación del capital</w:t>
            </w:r>
          </w:p>
        </w:tc>
        <w:tc>
          <w:tcPr>
            <w:tcW w:type="dxa" w:w="3389"/>
            <w:shd w:fill="F2F7F9"/>
          </w:tcPr>
          <w:p>
            <w:r>
              <w:t>El patrimonio tiene prioridad sobre cualquier oportunidad de beneficio.</w:t>
            </w:r>
          </w:p>
        </w:tc>
      </w:tr>
      <w:tr>
        <w:tc>
          <w:tcPr>
            <w:tcW w:type="dxa" w:w="3389"/>
          </w:tcPr>
          <w:p>
            <w:r>
              <w:t>II</w:t>
            </w:r>
          </w:p>
        </w:tc>
        <w:tc>
          <w:tcPr>
            <w:tcW w:type="dxa" w:w="3389"/>
          </w:tcPr>
          <w:p>
            <w:r>
              <w:t>Explicabilidad obligatoria</w:t>
            </w:r>
          </w:p>
        </w:tc>
        <w:tc>
          <w:tcPr>
            <w:tcW w:type="dxa" w:w="3389"/>
          </w:tcPr>
          <w:p>
            <w:r>
              <w:t>Toda decisión automática registra evidencia, objeciones, riesgo, plan y resultado.</w:t>
            </w:r>
          </w:p>
        </w:tc>
      </w:tr>
      <w:tr>
        <w:tc>
          <w:tcPr>
            <w:tcW w:type="dxa" w:w="3389"/>
            <w:shd w:fill="F2F7F9"/>
          </w:tcPr>
          <w:p>
            <w:r>
              <w:t>III</w:t>
            </w:r>
          </w:p>
        </w:tc>
        <w:tc>
          <w:tcPr>
            <w:tcW w:type="dxa" w:w="3389"/>
            <w:shd w:fill="F2F7F9"/>
          </w:tcPr>
          <w:p>
            <w:r>
              <w:t>Autonomía ganada</w:t>
            </w:r>
          </w:p>
        </w:tc>
        <w:tc>
          <w:tcPr>
            <w:tcW w:type="dxa" w:w="3389"/>
            <w:shd w:fill="F2F7F9"/>
          </w:tcPr>
          <w:p>
            <w:r>
              <w:t>La licencia se sostiene por desempeño auditado; no es un interruptor permanente.</w:t>
            </w:r>
          </w:p>
        </w:tc>
      </w:tr>
      <w:tr>
        <w:tc>
          <w:tcPr>
            <w:tcW w:type="dxa" w:w="3389"/>
          </w:tcPr>
          <w:p>
            <w:r>
              <w:t>IV</w:t>
            </w:r>
          </w:p>
        </w:tc>
        <w:tc>
          <w:tcPr>
            <w:tcW w:type="dxa" w:w="3389"/>
          </w:tcPr>
          <w:p>
            <w:r>
              <w:t>Investigación radical</w:t>
            </w:r>
          </w:p>
        </w:tc>
        <w:tc>
          <w:tcPr>
            <w:tcW w:type="dxa" w:w="3389"/>
          </w:tcPr>
          <w:p>
            <w:r>
              <w:t>APEX puede explorar ampliamente, pero solo ejecuta dentro del presupuesto autorizado.</w:t>
            </w:r>
          </w:p>
        </w:tc>
      </w:tr>
      <w:tr>
        <w:tc>
          <w:tcPr>
            <w:tcW w:type="dxa" w:w="3389"/>
            <w:shd w:fill="F2F7F9"/>
          </w:tcPr>
          <w:p>
            <w:r>
              <w:t>V</w:t>
            </w:r>
          </w:p>
        </w:tc>
        <w:tc>
          <w:tcPr>
            <w:tcW w:type="dxa" w:w="3389"/>
            <w:shd w:fill="F2F7F9"/>
          </w:tcPr>
          <w:p>
            <w:r>
              <w:t>Comité de inversión</w:t>
            </w:r>
          </w:p>
        </w:tc>
        <w:tc>
          <w:tcPr>
            <w:tcW w:type="dxa" w:w="3389"/>
            <w:shd w:fill="F2F7F9"/>
          </w:tcPr>
          <w:p>
            <w:r>
              <w:t>Ningún agente individual abre una posición autónoma. Risk y Portfolio poseen capacidad de veto.</w:t>
            </w:r>
          </w:p>
        </w:tc>
      </w:tr>
      <w:tr>
        <w:tc>
          <w:tcPr>
            <w:tcW w:type="dxa" w:w="3389"/>
          </w:tcPr>
          <w:p>
            <w:r>
              <w:t>VI</w:t>
            </w:r>
          </w:p>
        </w:tc>
        <w:tc>
          <w:tcPr>
            <w:tcW w:type="dxa" w:w="3389"/>
          </w:tcPr>
          <w:p>
            <w:r>
              <w:t>Derecho a no operar</w:t>
            </w:r>
          </w:p>
        </w:tc>
        <w:tc>
          <w:tcPr>
            <w:tcW w:type="dxa" w:w="3389"/>
          </w:tcPr>
          <w:p>
            <w:r>
              <w:t>La inactividad es correcta cuando no existe ventaja, hay conflicto o falla la integridad.</w:t>
            </w:r>
          </w:p>
        </w:tc>
      </w:tr>
      <w:tr>
        <w:tc>
          <w:tcPr>
            <w:tcW w:type="dxa" w:w="3389"/>
            <w:shd w:fill="F2F7F9"/>
          </w:tcPr>
          <w:p>
            <w:r>
              <w:t>VII</w:t>
            </w:r>
          </w:p>
        </w:tc>
        <w:tc>
          <w:tcPr>
            <w:tcW w:type="dxa" w:w="3389"/>
            <w:shd w:fill="F2F7F9"/>
          </w:tcPr>
          <w:p>
            <w:r>
              <w:t>Integridad operativa</w:t>
            </w:r>
          </w:p>
        </w:tc>
        <w:tc>
          <w:tcPr>
            <w:tcW w:type="dxa" w:w="3389"/>
            <w:shd w:fill="F2F7F9"/>
          </w:tcPr>
          <w:p>
            <w:r>
              <w:t>Errores de datos, ejecución o reconciliación obligan a modo seguro.</w:t>
            </w:r>
          </w:p>
        </w:tc>
      </w:tr>
      <w:tr>
        <w:tc>
          <w:tcPr>
            <w:tcW w:type="dxa" w:w="3389"/>
          </w:tcPr>
          <w:p>
            <w:r>
              <w:t>VIII</w:t>
            </w:r>
          </w:p>
        </w:tc>
        <w:tc>
          <w:tcPr>
            <w:tcW w:type="dxa" w:w="3389"/>
          </w:tcPr>
          <w:p>
            <w:r>
              <w:t>Prohibiciones</w:t>
            </w:r>
          </w:p>
        </w:tc>
        <w:tc>
          <w:tcPr>
            <w:tcW w:type="dxa" w:w="3389"/>
          </w:tcPr>
          <w:p>
            <w:r>
              <w:t>No quitar stops para evitar pérdidas, no perseguir pérdidas, no operar fuera de licencia, no ocultar desacuerdos.</w:t>
            </w:r>
          </w:p>
        </w:tc>
      </w:tr>
      <w:tr>
        <w:tc>
          <w:tcPr>
            <w:tcW w:type="dxa" w:w="3389"/>
            <w:shd w:fill="F2F7F9"/>
          </w:tcPr>
          <w:p>
            <w:r>
              <w:t>IX</w:t>
            </w:r>
          </w:p>
        </w:tc>
        <w:tc>
          <w:tcPr>
            <w:tcW w:type="dxa" w:w="3389"/>
            <w:shd w:fill="F2F7F9"/>
          </w:tcPr>
          <w:p>
            <w:r>
              <w:t>Autoauditoría</w:t>
            </w:r>
          </w:p>
        </w:tc>
        <w:tc>
          <w:tcPr>
            <w:tcW w:type="dxa" w:w="3389"/>
            <w:shd w:fill="F2F7F9"/>
          </w:tcPr>
          <w:p>
            <w:r>
              <w:t>Governance evalúa disciplina, drawdown, estabilidad, ejecución, datos y cumplimiento constitucional.</w:t>
            </w:r>
          </w:p>
        </w:tc>
      </w:tr>
      <w:tr>
        <w:tc>
          <w:tcPr>
            <w:tcW w:type="dxa" w:w="3389"/>
          </w:tcPr>
          <w:p>
            <w:r>
              <w:t>X</w:t>
            </w:r>
          </w:p>
        </w:tc>
        <w:tc>
          <w:tcPr>
            <w:tcW w:type="dxa" w:w="3389"/>
          </w:tcPr>
          <w:p>
            <w:r>
              <w:t>Aprendizaje por proceso</w:t>
            </w:r>
          </w:p>
        </w:tc>
        <w:tc>
          <w:tcPr>
            <w:tcW w:type="dxa" w:w="3389"/>
          </w:tcPr>
          <w:p>
            <w:r>
              <w:t>APEX distingue calidad de decisión y resultado financiero.</w:t>
            </w:r>
          </w:p>
        </w:tc>
      </w:tr>
      <w:tr>
        <w:tc>
          <w:tcPr>
            <w:tcW w:type="dxa" w:w="3389"/>
            <w:shd w:fill="F2F7F9"/>
          </w:tcPr>
          <w:p>
            <w:r>
              <w:t>XI</w:t>
            </w:r>
          </w:p>
        </w:tc>
        <w:tc>
          <w:tcPr>
            <w:tcW w:type="dxa" w:w="3389"/>
            <w:shd w:fill="F2F7F9"/>
          </w:tcPr>
          <w:p>
            <w:r>
              <w:t>Autoridad humana</w:t>
            </w:r>
          </w:p>
        </w:tc>
        <w:tc>
          <w:tcPr>
            <w:tcW w:type="dxa" w:w="3389"/>
            <w:shd w:fill="F2F7F9"/>
          </w:tcPr>
          <w:p>
            <w:r>
              <w:t>El operador fija Constitución, techo patrimonial, conectores y habilitación live.</w:t>
            </w:r>
          </w:p>
        </w:tc>
      </w:tr>
      <w:tr>
        <w:tc>
          <w:tcPr>
            <w:tcW w:type="dxa" w:w="3389"/>
          </w:tcPr>
          <w:p>
            <w:r>
              <w:t>XII</w:t>
            </w:r>
          </w:p>
        </w:tc>
        <w:tc>
          <w:tcPr>
            <w:tcW w:type="dxa" w:w="3389"/>
          </w:tcPr>
          <w:p>
            <w:r>
              <w:t>Identidad</w:t>
            </w:r>
          </w:p>
        </w:tc>
        <w:tc>
          <w:tcPr>
            <w:tcW w:type="dxa" w:w="3389"/>
          </w:tcPr>
          <w:p>
            <w:r>
              <w:t>APEX decide con personalidad sin convertir la osadía en irresponsabilidad patrimonial.</w:t>
            </w:r>
          </w:p>
        </w:tc>
      </w:tr>
    </w:tbl>
    <w:p>
      <w:pPr>
        <w:pStyle w:val="Heading1"/>
      </w:pPr>
      <w:r>
        <w:rPr>
          <w:b w:val="0"/>
        </w:rPr>
        <w:t>3. Arquitectura cognitiva</w:t>
      </w:r>
    </w:p>
    <w:p>
      <w:pPr>
        <w:pStyle w:val="Heading2"/>
      </w:pPr>
      <w:r>
        <w:rPr>
          <w:b w:val="0"/>
        </w:rPr>
        <w:t>Flujo de decisión</w:t>
      </w:r>
    </w:p>
    <w:p>
      <w:r>
        <w:rPr>
          <w:b/>
          <w:color w:val="0C5B78"/>
        </w:rPr>
        <w:t>Universe → Hunter → filtros cuantitativos → Context → Strategy → Risk → Portfolio → Decision Core → Execution → Ledger → Governance → Learning.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EF4"/>
          </w:tcPr>
          <w:p>
            <w:r>
              <w:rPr>
                <w:b/>
              </w:rPr>
              <w:t>Hunter</w:t>
            </w:r>
          </w:p>
        </w:tc>
        <w:tc>
          <w:tcPr>
            <w:tcW w:type="dxa" w:w="5083"/>
          </w:tcPr>
          <w:p>
            <w:r>
              <w:t>Escanea movimientos de horas, oportunidades de días o meses, eventos, noticias, valor relativo y anomalías. Produce candidatos, nunca órdenes.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5083"/>
          </w:tcPr>
          <w:p>
            <w:r>
              <w:t>Interpreta régimen, macro, calendario, noticias, sentimiento y condiciones excepcionales.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5083"/>
          </w:tcPr>
          <w:p>
            <w:r>
              <w:t>Convierte candidatos en planes operables: entrada, invalidación, objetivo, horizonte y cancelación.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83"/>
          </w:tcPr>
          <w:p>
            <w:r>
              <w:t>Evalúa pérdida, liquidez, slippage, volatilidad, apalancamiento y colas. Tiene veto duro.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Portfolio</w:t>
            </w:r>
          </w:p>
        </w:tc>
        <w:tc>
          <w:tcPr>
            <w:tcW w:type="dxa" w:w="5083"/>
          </w:tcPr>
          <w:p>
            <w:r>
              <w:t>Controla concentración, correlación y exposición agregada. Puede limitar o vetar.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5083"/>
          </w:tcPr>
          <w:p>
            <w:r>
              <w:t>Envía órdenes aprobadas al conector. No modifica la tesis por iniciativa propia.</w:t>
            </w:r>
          </w:p>
        </w:tc>
      </w:tr>
      <w:tr>
        <w:tc>
          <w:tcPr>
            <w:tcW w:type="dxa" w:w="5083"/>
            <w:shd w:fill="D9EEF4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5083"/>
          </w:tcPr>
          <w:p>
            <w:r>
              <w:t>Audita al sistema, calcula confianza operativa y administra la licencia.</w:t>
            </w:r>
          </w:p>
        </w:tc>
      </w:tr>
    </w:tbl>
    <w:p>
      <w:pPr>
        <w:pStyle w:val="Heading1"/>
      </w:pPr>
      <w:r>
        <w:rPr>
          <w:b w:val="0"/>
        </w:rPr>
        <w:t>4. Dos salidas del Modo Cazador</w:t>
      </w:r>
    </w:p>
    <w:p>
      <w:pPr>
        <w:pStyle w:val="ListBullet"/>
      </w:pPr>
      <w:r>
        <w:rPr>
          <w:b/>
        </w:rPr>
        <w:t xml:space="preserve">Alert Stream: </w:t>
      </w:r>
      <w:r>
        <w:t>Oportunidades filtradas y priorizadas para revisión humana, con razón de inclusión, horizonte, vigencia y riesgo.</w:t>
      </w:r>
    </w:p>
    <w:p>
      <w:pPr>
        <w:pStyle w:val="ListBullet"/>
      </w:pPr>
      <w:r>
        <w:rPr>
          <w:b/>
        </w:rPr>
        <w:t xml:space="preserve">Autonomous Queue: </w:t>
      </w:r>
      <w:r>
        <w:t>Candidatos elegibles para decisión automática dentro del 5%, sujetos al comité completo y a límites duros.</w:t>
      </w:r>
    </w:p>
    <w:p>
      <w:pPr>
        <w:pStyle w:val="Heading1"/>
      </w:pPr>
      <w:r>
        <w:rPr>
          <w:b w:val="0"/>
        </w:rPr>
        <w:t>5. Gobierno de autonomía</w:t>
      </w:r>
    </w:p>
    <w:p>
      <w:pPr>
        <w:pStyle w:val="Heading2"/>
      </w:pPr>
      <w:r>
        <w:rPr>
          <w:b w:val="0"/>
        </w:rPr>
        <w:t>Estados de licencia</w:t>
      </w:r>
    </w:p>
    <w:p>
      <w:pPr>
        <w:pStyle w:val="ListBullet"/>
      </w:pPr>
      <w:r>
        <w:t>Observación: research y alertas.</w:t>
      </w:r>
    </w:p>
    <w:p>
      <w:pPr>
        <w:pStyle w:val="ListBullet"/>
      </w:pPr>
      <w:r>
        <w:t>Propuesta: prepara tickets y espera aprobación.</w:t>
      </w:r>
    </w:p>
    <w:p>
      <w:pPr>
        <w:pStyle w:val="ListBullet"/>
      </w:pPr>
      <w:r>
        <w:t>Paper autónomo: ejecuta en simulación.</w:t>
      </w:r>
    </w:p>
    <w:p>
      <w:pPr>
        <w:pStyle w:val="ListBullet"/>
      </w:pPr>
      <w:r>
        <w:t>Live restringido: futuro, capital segregado y controles externos.</w:t>
      </w:r>
    </w:p>
    <w:p>
      <w:pPr>
        <w:pStyle w:val="ListBullet"/>
      </w:pPr>
      <w:r>
        <w:t>Suspendido: investiga, pero no ejecuta.</w:t>
      </w:r>
    </w:p>
    <w:p>
      <w:pPr>
        <w:pStyle w:val="Heading2"/>
      </w:pPr>
      <w:r>
        <w:rPr>
          <w:b w:val="0"/>
        </w:rPr>
        <w:t>Trust Score</w:t>
      </w:r>
    </w:p>
    <w:p>
      <w:r>
        <w:rPr>
          <w:b w:val="0"/>
        </w:rPr>
        <w:t>No se calcula solo con rentabilidad. Debe combinar disciplina, drawdown, estabilidad entre regímenes, integridad de datos, calidad de ejecución, calibración de confianza, excepciones y cumplimiento constitucional.</w:t>
      </w:r>
    </w:p>
    <w:p>
      <w:pPr>
        <w:pStyle w:val="Heading1"/>
      </w:pPr>
      <w:r>
        <w:rPr>
          <w:b w:val="0"/>
        </w:rPr>
        <w:t>6. Reglas duras iniciales</w:t>
      </w:r>
    </w:p>
    <w:p>
      <w:pPr>
        <w:pStyle w:val="ListBullet"/>
      </w:pPr>
      <w:r>
        <w:t>Live trading permanece deshabilitado en esta etapa.</w:t>
      </w:r>
    </w:p>
    <w:p>
      <w:pPr>
        <w:pStyle w:val="ListBullet"/>
      </w:pPr>
      <w:r>
        <w:t>Risk Engine y Portfolio Engine poseen veto.</w:t>
      </w:r>
    </w:p>
    <w:p>
      <w:pPr>
        <w:pStyle w:val="ListBullet"/>
      </w:pPr>
      <w:r>
        <w:t>Fallo de datos o ejecución bloquea nuevas órdenes.</w:t>
      </w:r>
    </w:p>
    <w:p>
      <w:pPr>
        <w:pStyle w:val="ListBullet"/>
      </w:pPr>
      <w:r>
        <w:t>La licencia puede reducirse o suspenderse automáticamente.</w:t>
      </w:r>
    </w:p>
    <w:p>
      <w:pPr>
        <w:pStyle w:val="ListBullet"/>
      </w:pPr>
      <w:r>
        <w:t>La licencia no puede superar el 5% sin autorización humana.</w:t>
      </w:r>
    </w:p>
    <w:p>
      <w:pPr>
        <w:pStyle w:val="ListBullet"/>
      </w:pPr>
      <w:r>
        <w:t>Toda decisión deja un registro inmutable y exportable.</w:t>
      </w:r>
    </w:p>
    <w:p>
      <w:pPr>
        <w:pStyle w:val="ListBullet"/>
      </w:pPr>
      <w:r>
        <w:t>Una estrategia nueva comienza en research y avanza por evidencia reproducible.</w:t>
      </w:r>
    </w:p>
    <w:p>
      <w:pPr>
        <w:pStyle w:val="Heading1"/>
      </w:pPr>
      <w:r>
        <w:rPr>
          <w:b w:val="0"/>
        </w:rPr>
        <w:t>7. Conectores previstos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3A5A"/>
          </w:tcPr>
          <w:p>
            <w:r>
              <w:rPr>
                <w:b/>
                <w:color w:val="FFFFFF"/>
              </w:rPr>
              <w:t>Conector</w:t>
            </w:r>
          </w:p>
        </w:tc>
        <w:tc>
          <w:tcPr>
            <w:tcW w:type="dxa" w:w="5083"/>
            <w:shd w:fill="123A5A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5083"/>
          </w:tcPr>
          <w:p>
            <w:r>
              <w:t>MetaTrader 5</w:t>
            </w:r>
          </w:p>
        </w:tc>
        <w:tc>
          <w:tcPr>
            <w:tcW w:type="dxa" w:w="5083"/>
          </w:tcPr>
          <w:p>
            <w:r>
              <w:t>Ejecución táctica en forex, índices, metales, CFDs y mercados ofrecidos por el broker.</w:t>
            </w:r>
          </w:p>
        </w:tc>
      </w:tr>
      <w:tr>
        <w:tc>
          <w:tcPr>
            <w:tcW w:type="dxa" w:w="5083"/>
          </w:tcPr>
          <w:p>
            <w:r>
              <w:t>Interactive Brokers</w:t>
            </w:r>
          </w:p>
        </w:tc>
        <w:tc>
          <w:tcPr>
            <w:tcW w:type="dxa" w:w="5083"/>
          </w:tcPr>
          <w:p>
            <w:r>
              <w:t>Candidato multiactivo para acciones, ETFs, opciones, futuros y mercados globales.</w:t>
            </w:r>
          </w:p>
        </w:tc>
      </w:tr>
      <w:tr>
        <w:tc>
          <w:tcPr>
            <w:tcW w:type="dxa" w:w="5083"/>
          </w:tcPr>
          <w:p>
            <w:r>
              <w:t>Phantom</w:t>
            </w:r>
          </w:p>
        </w:tc>
        <w:tc>
          <w:tcPr>
            <w:tcW w:type="dxa" w:w="5083"/>
          </w:tcPr>
          <w:p>
            <w:r>
              <w:t>Bóveda y firma on-chain. No será el cerebro; la automatización usará capital segregado y permisos limitados.</w:t>
            </w:r>
          </w:p>
        </w:tc>
      </w:tr>
      <w:tr>
        <w:tc>
          <w:tcPr>
            <w:tcW w:type="dxa" w:w="5083"/>
          </w:tcPr>
          <w:p>
            <w:r>
              <w:t>APEX Paper Ledger</w:t>
            </w:r>
          </w:p>
        </w:tc>
        <w:tc>
          <w:tcPr>
            <w:tcW w:type="dxa" w:w="5083"/>
          </w:tcPr>
          <w:p>
            <w:r>
              <w:t>Capa común de simulación, auditoría y reconciliación antes de cualquier live.</w:t>
            </w:r>
          </w:p>
        </w:tc>
      </w:tr>
    </w:tbl>
    <w:p>
      <w:pPr>
        <w:pStyle w:val="Heading1"/>
      </w:pPr>
      <w:r>
        <w:rPr>
          <w:b w:val="0"/>
        </w:rPr>
        <w:t>8. Roadmap técnico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389"/>
            <w:shd w:fill="123A5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89"/>
          </w:tcPr>
          <w:p>
            <w:r>
              <w:t>1.3</w:t>
            </w:r>
          </w:p>
        </w:tc>
        <w:tc>
          <w:tcPr>
            <w:tcW w:type="dxa" w:w="3389"/>
          </w:tcPr>
          <w:p>
            <w:r>
              <w:t>Governance Foundation</w:t>
            </w:r>
          </w:p>
        </w:tc>
        <w:tc>
          <w:tcPr>
            <w:tcW w:type="dxa" w:w="3389"/>
          </w:tcPr>
          <w:p>
            <w:r>
              <w:t>Superficie de gobierno, licencia 5%, Constitución, agentes, diario y configuración.</w:t>
            </w:r>
          </w:p>
        </w:tc>
      </w:tr>
      <w:tr>
        <w:tc>
          <w:tcPr>
            <w:tcW w:type="dxa" w:w="3389"/>
          </w:tcPr>
          <w:p>
            <w:r>
              <w:t>1.4</w:t>
            </w:r>
          </w:p>
        </w:tc>
        <w:tc>
          <w:tcPr>
            <w:tcW w:type="dxa" w:w="3389"/>
          </w:tcPr>
          <w:p>
            <w:r>
              <w:t>Core Event Bus</w:t>
            </w:r>
          </w:p>
        </w:tc>
        <w:tc>
          <w:tcPr>
            <w:tcW w:type="dxa" w:w="3389"/>
          </w:tcPr>
          <w:p>
            <w:r>
              <w:t>Eventos formales y desacople entre motores.</w:t>
            </w:r>
          </w:p>
        </w:tc>
      </w:tr>
      <w:tr>
        <w:tc>
          <w:tcPr>
            <w:tcW w:type="dxa" w:w="3389"/>
          </w:tcPr>
          <w:p>
            <w:r>
              <w:t>1.5</w:t>
            </w:r>
          </w:p>
        </w:tc>
        <w:tc>
          <w:tcPr>
            <w:tcW w:type="dxa" w:w="3389"/>
          </w:tcPr>
          <w:p>
            <w:r>
              <w:t>Hunter Research Engine</w:t>
            </w:r>
          </w:p>
        </w:tc>
        <w:tc>
          <w:tcPr>
            <w:tcW w:type="dxa" w:w="3389"/>
          </w:tcPr>
          <w:p>
            <w:r>
              <w:t>Universos, ranking multi-horizonte, Alert Stream y Autonomous Queue.</w:t>
            </w:r>
          </w:p>
        </w:tc>
      </w:tr>
      <w:tr>
        <w:tc>
          <w:tcPr>
            <w:tcW w:type="dxa" w:w="3389"/>
          </w:tcPr>
          <w:p>
            <w:r>
              <w:t>1.6</w:t>
            </w:r>
          </w:p>
        </w:tc>
        <w:tc>
          <w:tcPr>
            <w:tcW w:type="dxa" w:w="3389"/>
          </w:tcPr>
          <w:p>
            <w:r>
              <w:t>Governance Metrics</w:t>
            </w:r>
          </w:p>
        </w:tc>
        <w:tc>
          <w:tcPr>
            <w:tcW w:type="dxa" w:w="3389"/>
          </w:tcPr>
          <w:p>
            <w:r>
              <w:t>Trust Score determinista, degradación y suspensión automáticas.</w:t>
            </w:r>
          </w:p>
        </w:tc>
      </w:tr>
      <w:tr>
        <w:tc>
          <w:tcPr>
            <w:tcW w:type="dxa" w:w="3389"/>
          </w:tcPr>
          <w:p>
            <w:r>
              <w:t>1.7</w:t>
            </w:r>
          </w:p>
        </w:tc>
        <w:tc>
          <w:tcPr>
            <w:tcW w:type="dxa" w:w="3389"/>
          </w:tcPr>
          <w:p>
            <w:r>
              <w:t>Connector Abstraction</w:t>
            </w:r>
          </w:p>
        </w:tc>
        <w:tc>
          <w:tcPr>
            <w:tcW w:type="dxa" w:w="3389"/>
          </w:tcPr>
          <w:p>
            <w:r>
              <w:t>MT5, IBKR, Phantom y ledger común sin acoplar el Core.</w:t>
            </w:r>
          </w:p>
        </w:tc>
      </w:tr>
      <w:tr>
        <w:tc>
          <w:tcPr>
            <w:tcW w:type="dxa" w:w="3389"/>
          </w:tcPr>
          <w:p>
            <w:r>
              <w:t>1.8</w:t>
            </w:r>
          </w:p>
        </w:tc>
        <w:tc>
          <w:tcPr>
            <w:tcW w:type="dxa" w:w="3389"/>
          </w:tcPr>
          <w:p>
            <w:r>
              <w:t>Strategy Lifecycle</w:t>
            </w:r>
          </w:p>
        </w:tc>
        <w:tc>
          <w:tcPr>
            <w:tcW w:type="dxa" w:w="3389"/>
          </w:tcPr>
          <w:p>
            <w:r>
              <w:t>Research, backtest, walk-forward, paper, shadow y capital restringido.</w:t>
            </w:r>
          </w:p>
        </w:tc>
      </w:tr>
    </w:tbl>
    <w:p>
      <w:pPr>
        <w:pStyle w:val="Heading1"/>
      </w:pPr>
      <w:r>
        <w:rPr>
          <w:b w:val="0"/>
        </w:rPr>
        <w:t>9. Definition of Done para live</w:t>
      </w:r>
    </w:p>
    <w:p>
      <w:pPr>
        <w:pStyle w:val="ListBullet"/>
      </w:pPr>
      <w:r>
        <w:t>Kill switch verificable.</w:t>
      </w:r>
    </w:p>
    <w:p>
      <w:pPr>
        <w:pStyle w:val="ListBullet"/>
      </w:pPr>
      <w:r>
        <w:t>Reconciliación broker-ledger.</w:t>
      </w:r>
    </w:p>
    <w:p>
      <w:pPr>
        <w:pStyle w:val="ListBullet"/>
      </w:pPr>
      <w:r>
        <w:t>Límites de riesgo externos al modelo.</w:t>
      </w:r>
    </w:p>
    <w:p>
      <w:pPr>
        <w:pStyle w:val="ListBullet"/>
      </w:pPr>
      <w:r>
        <w:t>Historial suficiente en paper y shadow.</w:t>
      </w:r>
    </w:p>
    <w:p>
      <w:pPr>
        <w:pStyle w:val="ListBullet"/>
      </w:pPr>
      <w:r>
        <w:t>Pruebas de fallos y recuperación.</w:t>
      </w:r>
    </w:p>
    <w:p>
      <w:pPr>
        <w:pStyle w:val="ListBullet"/>
      </w:pPr>
      <w:r>
        <w:t>Trazabilidad completa.</w:t>
      </w:r>
    </w:p>
    <w:p>
      <w:pPr>
        <w:pStyle w:val="ListBullet"/>
      </w:pPr>
      <w:r>
        <w:t>Capital segregado.</w:t>
      </w:r>
    </w:p>
    <w:p>
      <w:pPr>
        <w:pStyle w:val="ListBullet"/>
      </w:pPr>
      <w:r>
        <w:t>Autorización humana explícita.</w:t>
      </w:r>
    </w:p>
    <w:p>
      <w:pPr>
        <w:pStyle w:val="Heading1"/>
      </w:pPr>
      <w:r>
        <w:rPr>
          <w:b w:val="0"/>
        </w:rPr>
        <w:t>10. Entrega 1.3</w:t>
      </w:r>
    </w:p>
    <w:p>
      <w:r>
        <w:rPr>
          <w:b w:val="0"/>
        </w:rPr>
        <w:t>Esta entrega no reemplaza la filosofía valiosa de Mission Control 1.2: la preserva y agrega una primera capa funcional de gobierno. El control visible sigue en paper. La autoauditoría actual es una simulación de interfaz; el siguiente paso es conectarla a métricas deterministas mediante el Core Event Bus.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APEX Governance Blueprint v1.0  |  Documento privado de arquitectura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60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60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E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