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8FF"/>
          <w:sz w:val="68"/>
        </w:rPr>
        <w:t>APEX</w:t>
      </w:r>
    </w:p>
    <w:p>
      <w:pPr>
        <w:jc w:val="center"/>
      </w:pPr>
      <w:r>
        <w:rPr>
          <w:b/>
          <w:color w:val="17365D"/>
          <w:sz w:val="50"/>
        </w:rPr>
        <w:t>Quantum Architecture I</w:t>
      </w:r>
    </w:p>
    <w:p>
      <w:pPr>
        <w:jc w:val="center"/>
      </w:pPr>
      <w:r>
        <w:rPr>
          <w:sz w:val="28"/>
        </w:rPr>
        <w:t>Thinking Engine · Case Governance · Adversarial Review</w:t>
      </w:r>
    </w:p>
    <w:p/>
    <w:p>
      <w:pPr>
        <w:jc w:val="center"/>
      </w:pPr>
      <w:r>
        <w:rPr>
          <w:i/>
          <w:color w:val="464646"/>
          <w:sz w:val="26"/>
        </w:rPr>
        <w:t>“Radical buscando. Frío validando. Implacable protegiendo capital.”</w:t>
      </w:r>
    </w:p>
    <w:p/>
    <w:p>
      <w:pPr>
        <w:jc w:val="center"/>
      </w:pPr>
      <w:r>
        <w:rPr>
          <w:b/>
        </w:rPr>
        <w:t>Blueprint de arquitectura y gobierno · Versión 1.0</w:t>
      </w:r>
    </w:p>
    <w:p>
      <w:r>
        <w:br w:type="page"/>
      </w:r>
    </w:p>
    <w:p>
      <w:pPr>
        <w:pStyle w:val="Heading1"/>
      </w:pPr>
      <w:r>
        <w:t>1. Propósito del salto</w:t>
      </w:r>
    </w:p>
    <w:p>
      <w:r>
        <w:t>Esta entrega transforma a APEX de un sistema que sintetiza señales en un sistema que construye, discute y audita casos antes de proponer una decisión. La interfaz conserva Mission Control 1.3 y agrega una capa cognitiva visible, sin habilitar ejecución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Antes</w:t>
            </w:r>
          </w:p>
        </w:tc>
        <w:tc>
          <w:tcPr>
            <w:tcW w:type="dxa" w:w="5083"/>
            <w:shd w:fill="D9EAF7"/>
          </w:tcPr>
          <w:p>
            <w:r>
              <w:t>Quantum Architecture I</w:t>
            </w:r>
          </w:p>
        </w:tc>
      </w:tr>
      <w:tr>
        <w:tc>
          <w:tcPr>
            <w:tcW w:type="dxa" w:w="5083"/>
          </w:tcPr>
          <w:p>
            <w:r>
              <w:t>Datos → indicadores → señal</w:t>
            </w:r>
          </w:p>
        </w:tc>
        <w:tc>
          <w:tcPr>
            <w:tcW w:type="dxa" w:w="5083"/>
          </w:tcPr>
          <w:p>
            <w:r>
              <w:t>Observación → hipótesis → evidencia</w:t>
            </w:r>
          </w:p>
        </w:tc>
      </w:tr>
      <w:tr>
        <w:tc>
          <w:tcPr>
            <w:tcW w:type="dxa" w:w="5083"/>
          </w:tcPr>
          <w:p>
            <w:r>
              <w:t>Confianza agregada</w:t>
            </w:r>
          </w:p>
        </w:tc>
        <w:tc>
          <w:tcPr>
            <w:tcW w:type="dxa" w:w="5083"/>
          </w:tcPr>
          <w:p>
            <w:r>
              <w:t>Evidencia + contraevidencia + consenso</w:t>
            </w:r>
          </w:p>
        </w:tc>
      </w:tr>
      <w:tr>
        <w:tc>
          <w:tcPr>
            <w:tcW w:type="dxa" w:w="5083"/>
          </w:tcPr>
          <w:p>
            <w:r>
              <w:t>Decisión directa</w:t>
            </w:r>
          </w:p>
        </w:tc>
        <w:tc>
          <w:tcPr>
            <w:tcW w:type="dxa" w:w="5083"/>
          </w:tcPr>
          <w:p>
            <w:r>
              <w:t>Fiscal, Historiador y Comité</w:t>
            </w:r>
          </w:p>
        </w:tc>
      </w:tr>
      <w:tr>
        <w:tc>
          <w:tcPr>
            <w:tcW w:type="dxa" w:w="5083"/>
          </w:tcPr>
          <w:p>
            <w:r>
              <w:t>Log técnico</w:t>
            </w:r>
          </w:p>
        </w:tc>
        <w:tc>
          <w:tcPr>
            <w:tcW w:type="dxa" w:w="5083"/>
          </w:tcPr>
          <w:p>
            <w:r>
              <w:t>Expediente y Diario de Conciencia</w:t>
            </w:r>
          </w:p>
        </w:tc>
      </w:tr>
    </w:tbl>
    <w:p>
      <w:pPr>
        <w:pStyle w:val="Heading1"/>
      </w:pPr>
      <w:r>
        <w:t>2. Principio rector</w:t>
      </w:r>
    </w:p>
    <w:p>
      <w:r>
        <w:t>APEX puede ser osado en research y búsqueda de anomalías. La osadía patrimonial permanece subordinada a límites duros, trazabilidad y una autonomía máxima humana del 5%. APEX puede reducir o suspender su licencia; no puede elevar por sí mismo el techo humano.</w:t>
      </w:r>
    </w:p>
    <w:p>
      <w:pPr>
        <w:pStyle w:val="Heading1"/>
      </w:pPr>
      <w:r>
        <w:t>3. Ciclo cognitivo</w:t>
      </w:r>
    </w:p>
    <w:p>
      <w:pPr>
        <w:pStyle w:val="ListNumber"/>
      </w:pPr>
      <w:r>
        <w:rPr>
          <w:b/>
        </w:rPr>
        <w:t>Observar</w:t>
      </w:r>
    </w:p>
    <w:p>
      <w:pPr>
        <w:pStyle w:val="ListNumber"/>
      </w:pPr>
      <w:r>
        <w:rPr>
          <w:b/>
        </w:rPr>
        <w:t>Formular hipótesis</w:t>
      </w:r>
    </w:p>
    <w:p>
      <w:pPr>
        <w:pStyle w:val="ListNumber"/>
      </w:pPr>
      <w:r>
        <w:rPr>
          <w:b/>
        </w:rPr>
        <w:t>Reunir evidencia</w:t>
      </w:r>
    </w:p>
    <w:p>
      <w:pPr>
        <w:pStyle w:val="ListNumber"/>
      </w:pPr>
      <w:r>
        <w:rPr>
          <w:b/>
        </w:rPr>
        <w:t>Buscar contraevidencia</w:t>
      </w:r>
    </w:p>
    <w:p>
      <w:pPr>
        <w:pStyle w:val="ListNumber"/>
      </w:pPr>
      <w:r>
        <w:rPr>
          <w:b/>
        </w:rPr>
        <w:t>Recuperar precedentes</w:t>
      </w:r>
    </w:p>
    <w:p>
      <w:pPr>
        <w:pStyle w:val="ListNumber"/>
      </w:pPr>
      <w:r>
        <w:rPr>
          <w:b/>
        </w:rPr>
        <w:t>Deliberar</w:t>
      </w:r>
    </w:p>
    <w:p>
      <w:pPr>
        <w:pStyle w:val="ListNumber"/>
      </w:pPr>
      <w:r>
        <w:rPr>
          <w:b/>
        </w:rPr>
        <w:t>Decidir</w:t>
      </w:r>
    </w:p>
    <w:p>
      <w:pPr>
        <w:pStyle w:val="ListNumber"/>
      </w:pPr>
      <w:r>
        <w:rPr>
          <w:b/>
        </w:rPr>
        <w:t>Auditar</w:t>
      </w:r>
    </w:p>
    <w:p>
      <w:pPr>
        <w:pStyle w:val="ListNumber"/>
      </w:pPr>
      <w:r>
        <w:rPr>
          <w:b/>
        </w:rPr>
        <w:t>Aprender</w:t>
      </w:r>
    </w:p>
    <w:p>
      <w:pPr>
        <w:pStyle w:val="Heading1"/>
      </w:pPr>
      <w:r>
        <w:t>4. Case Engine</w:t>
      </w:r>
    </w:p>
    <w:p>
      <w:r>
        <w:t>Cada oportunidad se convierte en un expediente. Una señal aislada nunca es suficiente para autorizar autonomía.</w:t>
      </w:r>
    </w:p>
    <w:p>
      <w:pPr>
        <w:pStyle w:val="ListBullet"/>
      </w:pPr>
      <w:r>
        <w:t>ID de caso</w:t>
      </w:r>
    </w:p>
    <w:p>
      <w:pPr>
        <w:pStyle w:val="ListBullet"/>
      </w:pPr>
      <w:r>
        <w:t>Activo y horizonte</w:t>
      </w:r>
    </w:p>
    <w:p>
      <w:pPr>
        <w:pStyle w:val="ListBullet"/>
      </w:pPr>
      <w:r>
        <w:t>Hipótesis falsable</w:t>
      </w:r>
    </w:p>
    <w:p>
      <w:pPr>
        <w:pStyle w:val="ListBullet"/>
      </w:pPr>
      <w:r>
        <w:t>Evidencias</w:t>
      </w:r>
    </w:p>
    <w:p>
      <w:pPr>
        <w:pStyle w:val="ListBullet"/>
      </w:pPr>
      <w:r>
        <w:t>Contraevidencias</w:t>
      </w:r>
    </w:p>
    <w:p>
      <w:pPr>
        <w:pStyle w:val="ListBullet"/>
      </w:pPr>
      <w:r>
        <w:t>Consenso</w:t>
      </w:r>
    </w:p>
    <w:p>
      <w:pPr>
        <w:pStyle w:val="ListBullet"/>
      </w:pPr>
      <w:r>
        <w:t>Decisión propuesta</w:t>
      </w:r>
    </w:p>
    <w:p>
      <w:pPr>
        <w:pStyle w:val="ListBullet"/>
      </w:pPr>
      <w:r>
        <w:t>Estado de autonomía</w:t>
      </w:r>
    </w:p>
    <w:p>
      <w:pPr>
        <w:pStyle w:val="ListBullet"/>
      </w:pPr>
      <w:r>
        <w:t>Resultado y revisión posterior</w:t>
      </w:r>
    </w:p>
    <w:p>
      <w:pPr>
        <w:pStyle w:val="Heading1"/>
      </w:pPr>
      <w:r>
        <w:t>5. Prosecutor Agent</w:t>
      </w:r>
    </w:p>
    <w:p>
      <w:r>
        <w:t>El Fiscal no optimiza la tasa de operaciones. Su misión es destruir tesis débiles antes de que lleguen a ejecución. Examina hipótesis alternativas, evidencia insuficiente, falta de invalidación, sobreajuste, volatilidad, correlaciones y datos incompletos.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CE4D6"/>
          </w:tcPr>
          <w:p>
            <w:r>
              <w:t>Salida</w:t>
            </w:r>
          </w:p>
        </w:tc>
        <w:tc>
          <w:tcPr>
            <w:tcW w:type="dxa" w:w="3389"/>
            <w:shd w:fill="FCE4D6"/>
          </w:tcPr>
          <w:p>
            <w:r>
              <w:t>Significado</w:t>
            </w:r>
          </w:p>
        </w:tc>
        <w:tc>
          <w:tcPr>
            <w:tcW w:type="dxa" w:w="3389"/>
            <w:shd w:fill="FCE4D6"/>
          </w:tcPr>
          <w:p>
            <w:r>
              <w:t>Efecto</w:t>
            </w:r>
          </w:p>
        </w:tc>
      </w:tr>
      <w:tr>
        <w:tc>
          <w:tcPr>
            <w:tcW w:type="dxa" w:w="3389"/>
          </w:tcPr>
          <w:p>
            <w:r>
              <w:t>Aprueba</w:t>
            </w:r>
          </w:p>
        </w:tc>
        <w:tc>
          <w:tcPr>
            <w:tcW w:type="dxa" w:w="3389"/>
          </w:tcPr>
          <w:p>
            <w:r>
              <w:t>La tesis resistió el ataque</w:t>
            </w:r>
          </w:p>
        </w:tc>
        <w:tc>
          <w:tcPr>
            <w:tcW w:type="dxa" w:w="3389"/>
          </w:tcPr>
          <w:p>
            <w:r>
              <w:t>Continúa</w:t>
            </w:r>
          </w:p>
        </w:tc>
      </w:tr>
      <w:tr>
        <w:tc>
          <w:tcPr>
            <w:tcW w:type="dxa" w:w="3389"/>
          </w:tcPr>
          <w:p>
            <w:r>
              <w:t>Objeta</w:t>
            </w:r>
          </w:p>
        </w:tc>
        <w:tc>
          <w:tcPr>
            <w:tcW w:type="dxa" w:w="3389"/>
          </w:tcPr>
          <w:p>
            <w:r>
              <w:t>Faltan pruebas o precisión</w:t>
            </w:r>
          </w:p>
        </w:tc>
        <w:tc>
          <w:tcPr>
            <w:tcW w:type="dxa" w:w="3389"/>
          </w:tcPr>
          <w:p>
            <w:r>
              <w:t>Espera/recalcula</w:t>
            </w:r>
          </w:p>
        </w:tc>
      </w:tr>
      <w:tr>
        <w:tc>
          <w:tcPr>
            <w:tcW w:type="dxa" w:w="3389"/>
          </w:tcPr>
          <w:p>
            <w:r>
              <w:t>Veto</w:t>
            </w:r>
          </w:p>
        </w:tc>
        <w:tc>
          <w:tcPr>
            <w:tcW w:type="dxa" w:w="3389"/>
          </w:tcPr>
          <w:p>
            <w:r>
              <w:t>Riesgo o gobierno invalidan</w:t>
            </w:r>
          </w:p>
        </w:tc>
        <w:tc>
          <w:tcPr>
            <w:tcW w:type="dxa" w:w="3389"/>
          </w:tcPr>
          <w:p>
            <w:r>
              <w:t>Detiene ejecución</w:t>
            </w:r>
          </w:p>
        </w:tc>
      </w:tr>
    </w:tbl>
    <w:p>
      <w:pPr>
        <w:pStyle w:val="Heading1"/>
      </w:pPr>
      <w:r>
        <w:t>6. Historian Agent</w:t>
      </w:r>
    </w:p>
    <w:p>
      <w:r>
        <w:t>El Historiador compara el caso actual con situaciones anteriores. La futura versión real deberá usar atributos de régimen, volatilidad, volumen, liquidez, correlación y contexto; no simples parecidos visuales. En esta entrega, los precedentes son demostrativos y están identificados como tales.</w:t>
      </w:r>
    </w:p>
    <w:p>
      <w:pPr>
        <w:pStyle w:val="Heading1"/>
      </w:pPr>
      <w:r>
        <w:t>7. Comité y separación de poderes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2F0D9"/>
          </w:tcPr>
          <w:p>
            <w:r>
              <w:t>Agente</w:t>
            </w:r>
          </w:p>
        </w:tc>
        <w:tc>
          <w:tcPr>
            <w:tcW w:type="dxa" w:w="5083"/>
            <w:shd w:fill="E2F0D9"/>
          </w:tcPr>
          <w:p>
            <w:r>
              <w:t>Mandato</w:t>
            </w:r>
          </w:p>
        </w:tc>
      </w:tr>
      <w:tr>
        <w:tc>
          <w:tcPr>
            <w:tcW w:type="dxa" w:w="5083"/>
          </w:tcPr>
          <w:p>
            <w:r>
              <w:t>Hunter</w:t>
            </w:r>
          </w:p>
        </w:tc>
        <w:tc>
          <w:tcPr>
            <w:tcW w:type="dxa" w:w="5083"/>
          </w:tcPr>
          <w:p>
            <w:r>
              <w:t>Detecta candidatos y anomalías</w:t>
            </w:r>
          </w:p>
        </w:tc>
      </w:tr>
      <w:tr>
        <w:tc>
          <w:tcPr>
            <w:tcW w:type="dxa" w:w="5083"/>
          </w:tcPr>
          <w:p>
            <w:r>
              <w:t>Context</w:t>
            </w:r>
          </w:p>
        </w:tc>
        <w:tc>
          <w:tcPr>
            <w:tcW w:type="dxa" w:w="5083"/>
          </w:tcPr>
          <w:p>
            <w:r>
              <w:t>Interpreta noticias, macro y eventos</w:t>
            </w:r>
          </w:p>
        </w:tc>
      </w:tr>
      <w:tr>
        <w:tc>
          <w:tcPr>
            <w:tcW w:type="dxa" w:w="5083"/>
          </w:tcPr>
          <w:p>
            <w:r>
              <w:t>Strategy</w:t>
            </w:r>
          </w:p>
        </w:tc>
        <w:tc>
          <w:tcPr>
            <w:tcW w:type="dxa" w:w="5083"/>
          </w:tcPr>
          <w:p>
            <w:r>
              <w:t>Construye el plan operable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Protege capital y posee veto duro</w:t>
            </w:r>
          </w:p>
        </w:tc>
      </w:tr>
      <w:tr>
        <w:tc>
          <w:tcPr>
            <w:tcW w:type="dxa" w:w="5083"/>
          </w:tcPr>
          <w:p>
            <w:r>
              <w:t>Portfolio</w:t>
            </w:r>
          </w:p>
        </w:tc>
        <w:tc>
          <w:tcPr>
            <w:tcW w:type="dxa" w:w="5083"/>
          </w:tcPr>
          <w:p>
            <w:r>
              <w:t>Controla exposición y correlación</w:t>
            </w:r>
          </w:p>
        </w:tc>
      </w:tr>
      <w:tr>
        <w:tc>
          <w:tcPr>
            <w:tcW w:type="dxa" w:w="5083"/>
          </w:tcPr>
          <w:p>
            <w:r>
              <w:t>Governance</w:t>
            </w:r>
          </w:p>
        </w:tc>
        <w:tc>
          <w:tcPr>
            <w:tcW w:type="dxa" w:w="5083"/>
          </w:tcPr>
          <w:p>
            <w:r>
              <w:t>Audita licencias y posee veto duro</w:t>
            </w:r>
          </w:p>
        </w:tc>
      </w:tr>
      <w:tr>
        <w:tc>
          <w:tcPr>
            <w:tcW w:type="dxa" w:w="5083"/>
          </w:tcPr>
          <w:p>
            <w:r>
              <w:t>Execution</w:t>
            </w:r>
          </w:p>
        </w:tc>
        <w:tc>
          <w:tcPr>
            <w:tcW w:type="dxa" w:w="5083"/>
          </w:tcPr>
          <w:p>
            <w:r>
              <w:t>Ejecuta únicamente una autorización válida</w:t>
            </w:r>
          </w:p>
        </w:tc>
      </w:tr>
    </w:tbl>
    <w:p>
      <w:pPr>
        <w:pStyle w:val="Heading1"/>
      </w:pPr>
      <w:r>
        <w:t>8. Autonomía y autoauditoría</w:t>
      </w:r>
    </w:p>
    <w:p>
      <w:r>
        <w:t>El 5% representa capital bajo autoridad autónoma, no riesgo por operación. Dentro de ese compartimento siguen vigentes límites de tamaño, pérdida, exposición, drawdown, liquidez y calidad de datos.</w:t>
      </w:r>
    </w:p>
    <w:p>
      <w:pPr>
        <w:pStyle w:val="ListBullet"/>
      </w:pPr>
      <w:r>
        <w:t>APEX puede reducir su autonomía.</w:t>
      </w:r>
    </w:p>
    <w:p>
      <w:pPr>
        <w:pStyle w:val="ListBullet"/>
      </w:pPr>
      <w:r>
        <w:t>APEX puede suspenderla.</w:t>
      </w:r>
    </w:p>
    <w:p>
      <w:pPr>
        <w:pStyle w:val="ListBullet"/>
      </w:pPr>
      <w:r>
        <w:t>APEX debe explicar cada cambio.</w:t>
      </w:r>
    </w:p>
    <w:p>
      <w:pPr>
        <w:pStyle w:val="ListBullet"/>
      </w:pPr>
      <w:r>
        <w:t>APEX no puede superar el 5% sin decisión humana.</w:t>
      </w:r>
    </w:p>
    <w:p>
      <w:pPr>
        <w:pStyle w:val="ListBullet"/>
      </w:pPr>
      <w:r>
        <w:t>Live trading continúa bloqueado.</w:t>
      </w:r>
    </w:p>
    <w:p>
      <w:pPr>
        <w:pStyle w:val="Heading1"/>
      </w:pPr>
      <w:r>
        <w:t>9. Correcciones de diseño incluidas</w:t>
      </w:r>
    </w:p>
    <w:p>
      <w:pPr>
        <w:pStyle w:val="ListBullet"/>
      </w:pPr>
      <w:r>
        <w:t>Padding uniforme en todas las tarjetas de Governance.</w:t>
      </w:r>
    </w:p>
    <w:p>
      <w:pPr>
        <w:pStyle w:val="ListBullet"/>
      </w:pPr>
      <w:r>
        <w:t>Protección contra títulos y métricas que rozaban bordes.</w:t>
      </w:r>
    </w:p>
    <w:p>
      <w:pPr>
        <w:pStyle w:val="ListBullet"/>
      </w:pPr>
      <w:r>
        <w:t>Ajuste de palabras largas y estados dentro de métricas.</w:t>
      </w:r>
    </w:p>
    <w:p>
      <w:pPr>
        <w:pStyle w:val="ListBullet"/>
      </w:pPr>
      <w:r>
        <w:t>Layout de Casos y Gobierno adaptado a notebook y móvil.</w:t>
      </w:r>
    </w:p>
    <w:p>
      <w:pPr>
        <w:pStyle w:val="ListBullet"/>
      </w:pPr>
      <w:r>
        <w:t>Conservación de la jerarquía visual y estética de Mission Control 1.3.</w:t>
      </w:r>
    </w:p>
    <w:p>
      <w:pPr>
        <w:pStyle w:val="Heading1"/>
      </w:pPr>
      <w:r>
        <w:t>10. Estado funcional honesto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Módulo</w:t>
            </w:r>
          </w:p>
        </w:tc>
        <w:tc>
          <w:tcPr>
            <w:tcW w:type="dxa" w:w="3389"/>
            <w:shd w:fill="D9EAF7"/>
          </w:tcPr>
          <w:p>
            <w:r>
              <w:t>Estado</w:t>
            </w:r>
          </w:p>
        </w:tc>
        <w:tc>
          <w:tcPr>
            <w:tcW w:type="dxa" w:w="3389"/>
            <w:shd w:fill="D9EAF7"/>
          </w:tcPr>
          <w:p>
            <w:r>
              <w:t>Próximo paso</w:t>
            </w:r>
          </w:p>
        </w:tc>
      </w:tr>
      <w:tr>
        <w:tc>
          <w:tcPr>
            <w:tcW w:type="dxa" w:w="3389"/>
          </w:tcPr>
          <w:p>
            <w:r>
              <w:t>Case Engine</w:t>
            </w:r>
          </w:p>
        </w:tc>
        <w:tc>
          <w:tcPr>
            <w:tcW w:type="dxa" w:w="3389"/>
          </w:tcPr>
          <w:p>
            <w:r>
              <w:t>Funcional con datos del análisis local</w:t>
            </w:r>
          </w:p>
        </w:tc>
        <w:tc>
          <w:tcPr>
            <w:tcW w:type="dxa" w:w="3389"/>
          </w:tcPr>
          <w:p>
            <w:r>
              <w:t>Persistencia y base de casos</w:t>
            </w:r>
          </w:p>
        </w:tc>
      </w:tr>
      <w:tr>
        <w:tc>
          <w:tcPr>
            <w:tcW w:type="dxa" w:w="3389"/>
          </w:tcPr>
          <w:p>
            <w:r>
              <w:t>Fiscal</w:t>
            </w:r>
          </w:p>
        </w:tc>
        <w:tc>
          <w:tcPr>
            <w:tcW w:type="dxa" w:w="3389"/>
          </w:tcPr>
          <w:p>
            <w:r>
              <w:t>Reglas adversariales funcionales</w:t>
            </w:r>
          </w:p>
        </w:tc>
        <w:tc>
          <w:tcPr>
            <w:tcW w:type="dxa" w:w="3389"/>
          </w:tcPr>
          <w:p>
            <w:r>
              <w:t>Modelos y pruebas históricas</w:t>
            </w:r>
          </w:p>
        </w:tc>
      </w:tr>
      <w:tr>
        <w:tc>
          <w:tcPr>
            <w:tcW w:type="dxa" w:w="3389"/>
          </w:tcPr>
          <w:p>
            <w:r>
              <w:t>Historiador</w:t>
            </w:r>
          </w:p>
        </w:tc>
        <w:tc>
          <w:tcPr>
            <w:tcW w:type="dxa" w:w="3389"/>
          </w:tcPr>
          <w:p>
            <w:r>
              <w:t>Demostrativo</w:t>
            </w:r>
          </w:p>
        </w:tc>
        <w:tc>
          <w:tcPr>
            <w:tcW w:type="dxa" w:w="3389"/>
          </w:tcPr>
          <w:p>
            <w:r>
              <w:t>Vector store de regímenes reales</w:t>
            </w:r>
          </w:p>
        </w:tc>
      </w:tr>
      <w:tr>
        <w:tc>
          <w:tcPr>
            <w:tcW w:type="dxa" w:w="3389"/>
          </w:tcPr>
          <w:p>
            <w:r>
              <w:t>Comité</w:t>
            </w:r>
          </w:p>
        </w:tc>
        <w:tc>
          <w:tcPr>
            <w:tcW w:type="dxa" w:w="3389"/>
          </w:tcPr>
          <w:p>
            <w:r>
              <w:t>Visible y trazable</w:t>
            </w:r>
          </w:p>
        </w:tc>
        <w:tc>
          <w:tcPr>
            <w:tcW w:type="dxa" w:w="3389"/>
          </w:tcPr>
          <w:p>
            <w:r>
              <w:t>Event Bus y contratos de veto</w:t>
            </w:r>
          </w:p>
        </w:tc>
      </w:tr>
      <w:tr>
        <w:tc>
          <w:tcPr>
            <w:tcW w:type="dxa" w:w="3389"/>
          </w:tcPr>
          <w:p>
            <w:r>
              <w:t>Governance</w:t>
            </w:r>
          </w:p>
        </w:tc>
        <w:tc>
          <w:tcPr>
            <w:tcW w:type="dxa" w:w="3389"/>
          </w:tcPr>
          <w:p>
            <w:r>
              <w:t>Paper</w:t>
            </w:r>
          </w:p>
        </w:tc>
        <w:tc>
          <w:tcPr>
            <w:tcW w:type="dxa" w:w="3389"/>
          </w:tcPr>
          <w:p>
            <w:r>
              <w:t>Métricas deterministas</w:t>
            </w:r>
          </w:p>
        </w:tc>
      </w:tr>
      <w:tr>
        <w:tc>
          <w:tcPr>
            <w:tcW w:type="dxa" w:w="3389"/>
          </w:tcPr>
          <w:p>
            <w:r>
              <w:t>Execution</w:t>
            </w:r>
          </w:p>
        </w:tc>
        <w:tc>
          <w:tcPr>
            <w:tcW w:type="dxa" w:w="3389"/>
          </w:tcPr>
          <w:p>
            <w:r>
              <w:t>Paper only</w:t>
            </w:r>
          </w:p>
        </w:tc>
        <w:tc>
          <w:tcPr>
            <w:tcW w:type="dxa" w:w="3389"/>
          </w:tcPr>
          <w:p>
            <w:r>
              <w:t>Conectores aislados y sandbox</w:t>
            </w:r>
          </w:p>
        </w:tc>
      </w:tr>
    </w:tbl>
    <w:p>
      <w:pPr>
        <w:pStyle w:val="Heading1"/>
      </w:pPr>
      <w:r>
        <w:t>11. Próximo Quantum Leap</w:t>
      </w:r>
    </w:p>
    <w:p>
      <w:r>
        <w:t>APEX Core Event Bus: convertir cada observación, objeción, veto, licencia y decisión en eventos estructurados. Esto permitirá replay, pruebas deterministas, auditoría completa y separación real entre agentes.</w:t>
      </w:r>
    </w:p>
    <w:p>
      <w:pPr>
        <w:pStyle w:val="Heading1"/>
      </w:pPr>
      <w:r>
        <w:t>12. Criterio de éxito</w:t>
      </w:r>
    </w:p>
    <w:p>
      <w:r>
        <w:t>APEX habrá cruzado esta etapa cuando ninguna operación pueda existir sin un caso reproducible, ninguna autonomía pueda activarse sin licencia válida y ninguna decisión pueda ocultar sus evidencias, objeciones y responsables.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APEX Quantum Architecture I · Documento interno personal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