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44A4F" w14:textId="77777777" w:rsidR="004202BF" w:rsidRPr="004202BF" w:rsidRDefault="004202BF" w:rsidP="004202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02BF">
        <w:rPr>
          <w:rFonts w:ascii="Times New Roman" w:eastAsia="Times New Roman" w:hAnsi="Times New Roman" w:cs="Times New Roman"/>
          <w:kern w:val="0"/>
          <w:lang w:eastAsia="en-GB"/>
          <w14:ligatures w14:val="none"/>
        </w:rPr>
        <w:t xml:space="preserve">XYZ Energy Solutions </w:t>
      </w:r>
      <w:proofErr w:type="spellStart"/>
      <w:r w:rsidRPr="004202BF">
        <w:rPr>
          <w:rFonts w:ascii="Times New Roman" w:eastAsia="Times New Roman" w:hAnsi="Times New Roman" w:cs="Times New Roman"/>
          <w:kern w:val="0"/>
          <w:lang w:eastAsia="en-GB"/>
          <w14:ligatures w14:val="none"/>
        </w:rPr>
        <w:t>Pvt.</w:t>
      </w:r>
      <w:proofErr w:type="spellEnd"/>
      <w:r w:rsidRPr="004202BF">
        <w:rPr>
          <w:rFonts w:ascii="Times New Roman" w:eastAsia="Times New Roman" w:hAnsi="Times New Roman" w:cs="Times New Roman"/>
          <w:kern w:val="0"/>
          <w:lang w:eastAsia="en-GB"/>
          <w14:ligatures w14:val="none"/>
        </w:rPr>
        <w:t xml:space="preserve"> Ltd. follows all applicable taxation policies and complies with national financial regulations to ensure transparent business operations. The company is responsible for the timely payment of corporate income tax, goods and services tax (GST), employee-related taxes, and other statutory duties applicable to its business activities. During the financial year 2025–2026, the company maintained accurate financial records and conducted regular internal audits to support tax compliance and reporting accuracy.</w:t>
      </w:r>
    </w:p>
    <w:p w14:paraId="20E3A8F2" w14:textId="77777777" w:rsidR="004202BF" w:rsidRPr="004202BF" w:rsidRDefault="004202BF" w:rsidP="004202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02BF">
        <w:rPr>
          <w:rFonts w:ascii="Times New Roman" w:eastAsia="Times New Roman" w:hAnsi="Times New Roman" w:cs="Times New Roman"/>
          <w:kern w:val="0"/>
          <w:lang w:eastAsia="en-GB"/>
          <w14:ligatures w14:val="none"/>
        </w:rPr>
        <w:t>The Finance and Taxation Department oversees the preparation and filing of tax returns, reconciliation of financial statements, and monitoring of regulatory updates issued by government authorities. The company also ensures that all vendor payments, employee salaries, and operational transactions are processed in accordance with applicable tax laws and deduction requirements.</w:t>
      </w:r>
    </w:p>
    <w:p w14:paraId="58D50E99" w14:textId="77777777" w:rsidR="004202BF" w:rsidRPr="004202BF" w:rsidRDefault="004202BF" w:rsidP="004202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02BF">
        <w:rPr>
          <w:rFonts w:ascii="Times New Roman" w:eastAsia="Times New Roman" w:hAnsi="Times New Roman" w:cs="Times New Roman"/>
          <w:kern w:val="0"/>
          <w:lang w:eastAsia="en-GB"/>
          <w14:ligatures w14:val="none"/>
        </w:rPr>
        <w:t xml:space="preserve">For the current fiscal year, XYZ Energy Solutions </w:t>
      </w:r>
      <w:proofErr w:type="spellStart"/>
      <w:r w:rsidRPr="004202BF">
        <w:rPr>
          <w:rFonts w:ascii="Times New Roman" w:eastAsia="Times New Roman" w:hAnsi="Times New Roman" w:cs="Times New Roman"/>
          <w:kern w:val="0"/>
          <w:lang w:eastAsia="en-GB"/>
          <w14:ligatures w14:val="none"/>
        </w:rPr>
        <w:t>Pvt.</w:t>
      </w:r>
      <w:proofErr w:type="spellEnd"/>
      <w:r w:rsidRPr="004202BF">
        <w:rPr>
          <w:rFonts w:ascii="Times New Roman" w:eastAsia="Times New Roman" w:hAnsi="Times New Roman" w:cs="Times New Roman"/>
          <w:kern w:val="0"/>
          <w:lang w:eastAsia="en-GB"/>
          <w14:ligatures w14:val="none"/>
        </w:rPr>
        <w:t xml:space="preserve"> Ltd. reported stable revenue growth, resulting in an increase in taxable income compared to the previous year. Tax planning strategies were implemented to optimize financial efficiency while remaining fully compliant with legal standards. Eligible deductions, depreciation benefits, and investment-related tax incentives were properly documented and applied during financial reporting.</w:t>
      </w:r>
    </w:p>
    <w:p w14:paraId="009DF6C0" w14:textId="77777777" w:rsidR="004202BF" w:rsidRPr="004202BF" w:rsidRDefault="004202BF" w:rsidP="004202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02BF">
        <w:rPr>
          <w:rFonts w:ascii="Times New Roman" w:eastAsia="Times New Roman" w:hAnsi="Times New Roman" w:cs="Times New Roman"/>
          <w:kern w:val="0"/>
          <w:lang w:eastAsia="en-GB"/>
          <w14:ligatures w14:val="none"/>
        </w:rPr>
        <w:t>The company remains committed to ethical financial practices, transparency, and responsible tax management as part of its long-term corporate governance objectives.</w:t>
      </w:r>
    </w:p>
    <w:p w14:paraId="470FDE32" w14:textId="77777777" w:rsidR="004202BF" w:rsidRPr="004202BF" w:rsidRDefault="004202BF" w:rsidP="004202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202BF">
        <w:rPr>
          <w:rFonts w:ascii="Times New Roman" w:eastAsia="Times New Roman" w:hAnsi="Times New Roman" w:cs="Times New Roman"/>
          <w:b/>
          <w:bCs/>
          <w:kern w:val="0"/>
          <w:sz w:val="27"/>
          <w:szCs w:val="27"/>
          <w:lang w:eastAsia="en-GB"/>
          <w14:ligatures w14:val="none"/>
        </w:rPr>
        <w:t>Company Taxation Overview Report</w:t>
      </w:r>
    </w:p>
    <w:p w14:paraId="46CBF1B7" w14:textId="77777777" w:rsidR="004202BF" w:rsidRPr="004202BF" w:rsidRDefault="004202BF" w:rsidP="004202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02BF">
        <w:rPr>
          <w:rFonts w:ascii="Times New Roman" w:eastAsia="Times New Roman" w:hAnsi="Times New Roman" w:cs="Times New Roman"/>
          <w:kern w:val="0"/>
          <w:lang w:eastAsia="en-GB"/>
          <w14:ligatures w14:val="none"/>
        </w:rPr>
        <w:t>ABC Petrochem Industries Ltd. maintains a structured taxation framework to ensure full compliance with government regulations and corporate financial policies. The company is liable for multiple forms of taxation, including corporate income tax, Goods and Services Tax (GST), customs duties, excise duties on petroleum products, and employee-related statutory deductions. All tax-related activities are monitored by the Finance and Compliance Division to maintain transparency and operational efficiency.</w:t>
      </w:r>
    </w:p>
    <w:p w14:paraId="1904DEB6" w14:textId="77777777" w:rsidR="004202BF" w:rsidRPr="004202BF" w:rsidRDefault="004202BF" w:rsidP="004202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02BF">
        <w:rPr>
          <w:rFonts w:ascii="Times New Roman" w:eastAsia="Times New Roman" w:hAnsi="Times New Roman" w:cs="Times New Roman"/>
          <w:kern w:val="0"/>
          <w:lang w:eastAsia="en-GB"/>
          <w14:ligatures w14:val="none"/>
        </w:rPr>
        <w:t>For the financial year 2025–2026, the company reported gross annual revenue of ₹4,850 crore, with taxable profits increasing by 11% compared to the previous fiscal year. Based on current corporate taxation policies, the company allocated approximately ₹920 crore toward direct and indirect tax obligations. GST collections from fuel distribution and petrochemical sales formed a major portion of indirect tax contributions.</w:t>
      </w:r>
    </w:p>
    <w:p w14:paraId="6AE0AECD" w14:textId="77777777" w:rsidR="004202BF" w:rsidRPr="004202BF" w:rsidRDefault="004202BF" w:rsidP="004202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02BF">
        <w:rPr>
          <w:rFonts w:ascii="Times New Roman" w:eastAsia="Times New Roman" w:hAnsi="Times New Roman" w:cs="Times New Roman"/>
          <w:kern w:val="0"/>
          <w:lang w:eastAsia="en-GB"/>
          <w14:ligatures w14:val="none"/>
        </w:rPr>
        <w:t>The taxation department conducted quarterly audits to verify invoice accuracy, GST filings, vendor compliance, and input tax credit reconciliation. Digital accounting systems were implemented to improve tax reporting efficiency and reduce processing errors. The company also maintained compliance with transfer pricing regulations for international transactions and import-related customs procedures.</w:t>
      </w:r>
    </w:p>
    <w:p w14:paraId="489EE1A3" w14:textId="77777777" w:rsidR="004202BF" w:rsidRPr="004202BF" w:rsidRDefault="004202BF" w:rsidP="004202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02BF">
        <w:rPr>
          <w:rFonts w:ascii="Times New Roman" w:eastAsia="Times New Roman" w:hAnsi="Times New Roman" w:cs="Times New Roman"/>
          <w:kern w:val="0"/>
          <w:lang w:eastAsia="en-GB"/>
          <w14:ligatures w14:val="none"/>
        </w:rPr>
        <w:t>To optimize financial performance, ABC Petrochem Industries Ltd. utilized approved tax-saving measures such as depreciation benefits on refinery equipment, infrastructure investment deductions, and renewable energy incentives. These strategies supported operational expansion while remaining fully aligned with legal and ethical taxation standards.</w:t>
      </w:r>
    </w:p>
    <w:p w14:paraId="12430B1A" w14:textId="77777777" w:rsidR="004202BF" w:rsidRPr="004202BF" w:rsidRDefault="004202BF" w:rsidP="004202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02BF">
        <w:rPr>
          <w:rFonts w:ascii="Times New Roman" w:eastAsia="Times New Roman" w:hAnsi="Times New Roman" w:cs="Times New Roman"/>
          <w:kern w:val="0"/>
          <w:lang w:eastAsia="en-GB"/>
          <w14:ligatures w14:val="none"/>
        </w:rPr>
        <w:lastRenderedPageBreak/>
        <w:t>The company remains committed to responsible tax management, timely regulatory reporting, and maintaining accurate financial disclosures to support long-term business sustainability and corporate governance objectives.</w:t>
      </w:r>
    </w:p>
    <w:p w14:paraId="2A1204D0" w14:textId="77777777" w:rsidR="00F105BA" w:rsidRPr="004202BF" w:rsidRDefault="00F105BA" w:rsidP="004202BF"/>
    <w:sectPr w:rsidR="00F105BA" w:rsidRPr="00420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5BA"/>
    <w:rsid w:val="004202BF"/>
    <w:rsid w:val="006F1E56"/>
    <w:rsid w:val="00A334A3"/>
    <w:rsid w:val="00F10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F34F46"/>
  <w15:chartTrackingRefBased/>
  <w15:docId w15:val="{952658B8-38EE-1743-A143-A4754313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0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0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0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0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5BA"/>
    <w:rPr>
      <w:rFonts w:eastAsiaTheme="majorEastAsia" w:cstheme="majorBidi"/>
      <w:color w:val="272727" w:themeColor="text1" w:themeTint="D8"/>
    </w:rPr>
  </w:style>
  <w:style w:type="paragraph" w:styleId="Title">
    <w:name w:val="Title"/>
    <w:basedOn w:val="Normal"/>
    <w:next w:val="Normal"/>
    <w:link w:val="TitleChar"/>
    <w:uiPriority w:val="10"/>
    <w:qFormat/>
    <w:rsid w:val="00F10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5BA"/>
    <w:pPr>
      <w:spacing w:before="160"/>
      <w:jc w:val="center"/>
    </w:pPr>
    <w:rPr>
      <w:i/>
      <w:iCs/>
      <w:color w:val="404040" w:themeColor="text1" w:themeTint="BF"/>
    </w:rPr>
  </w:style>
  <w:style w:type="character" w:customStyle="1" w:styleId="QuoteChar">
    <w:name w:val="Quote Char"/>
    <w:basedOn w:val="DefaultParagraphFont"/>
    <w:link w:val="Quote"/>
    <w:uiPriority w:val="29"/>
    <w:rsid w:val="00F105BA"/>
    <w:rPr>
      <w:i/>
      <w:iCs/>
      <w:color w:val="404040" w:themeColor="text1" w:themeTint="BF"/>
    </w:rPr>
  </w:style>
  <w:style w:type="paragraph" w:styleId="ListParagraph">
    <w:name w:val="List Paragraph"/>
    <w:basedOn w:val="Normal"/>
    <w:uiPriority w:val="34"/>
    <w:qFormat/>
    <w:rsid w:val="00F105BA"/>
    <w:pPr>
      <w:ind w:left="720"/>
      <w:contextualSpacing/>
    </w:pPr>
  </w:style>
  <w:style w:type="character" w:styleId="IntenseEmphasis">
    <w:name w:val="Intense Emphasis"/>
    <w:basedOn w:val="DefaultParagraphFont"/>
    <w:uiPriority w:val="21"/>
    <w:qFormat/>
    <w:rsid w:val="00F105BA"/>
    <w:rPr>
      <w:i/>
      <w:iCs/>
      <w:color w:val="0F4761" w:themeColor="accent1" w:themeShade="BF"/>
    </w:rPr>
  </w:style>
  <w:style w:type="paragraph" w:styleId="IntenseQuote">
    <w:name w:val="Intense Quote"/>
    <w:basedOn w:val="Normal"/>
    <w:next w:val="Normal"/>
    <w:link w:val="IntenseQuoteChar"/>
    <w:uiPriority w:val="30"/>
    <w:qFormat/>
    <w:rsid w:val="00F10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5BA"/>
    <w:rPr>
      <w:i/>
      <w:iCs/>
      <w:color w:val="0F4761" w:themeColor="accent1" w:themeShade="BF"/>
    </w:rPr>
  </w:style>
  <w:style w:type="character" w:styleId="IntenseReference">
    <w:name w:val="Intense Reference"/>
    <w:basedOn w:val="DefaultParagraphFont"/>
    <w:uiPriority w:val="32"/>
    <w:qFormat/>
    <w:rsid w:val="00F105BA"/>
    <w:rPr>
      <w:b/>
      <w:bCs/>
      <w:smallCaps/>
      <w:color w:val="0F4761" w:themeColor="accent1" w:themeShade="BF"/>
      <w:spacing w:val="5"/>
    </w:rPr>
  </w:style>
  <w:style w:type="paragraph" w:styleId="NormalWeb">
    <w:name w:val="Normal (Web)"/>
    <w:basedOn w:val="Normal"/>
    <w:uiPriority w:val="99"/>
    <w:semiHidden/>
    <w:unhideWhenUsed/>
    <w:rsid w:val="00F105B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757_Apeksha_Saxena</dc:creator>
  <cp:keywords/>
  <dc:description/>
  <cp:lastModifiedBy>757_Apeksha_Saxena</cp:lastModifiedBy>
  <cp:revision>2</cp:revision>
  <dcterms:created xsi:type="dcterms:W3CDTF">2026-05-22T09:15:00Z</dcterms:created>
  <dcterms:modified xsi:type="dcterms:W3CDTF">2026-05-22T09:15:00Z</dcterms:modified>
</cp:coreProperties>
</file>