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B473" w14:textId="77777777" w:rsidR="00F105BA" w:rsidRPr="00F105BA" w:rsidRDefault="00F105BA" w:rsidP="00F105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105BA">
        <w:rPr>
          <w:rFonts w:ascii="Times New Roman" w:eastAsia="Times New Roman" w:hAnsi="Times New Roman" w:cs="Times New Roman"/>
          <w:b/>
          <w:bCs/>
          <w:kern w:val="0"/>
          <w:sz w:val="36"/>
          <w:szCs w:val="36"/>
          <w:lang w:eastAsia="en-GB"/>
          <w14:ligatures w14:val="none"/>
        </w:rPr>
        <w:t>Marketing Finance Report</w:t>
      </w:r>
    </w:p>
    <w:p w14:paraId="3DBB8FB8" w14:textId="77777777" w:rsidR="00F105BA" w:rsidRPr="00F105BA" w:rsidRDefault="00F105BA" w:rsidP="00F1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105BA">
        <w:rPr>
          <w:rFonts w:ascii="Times New Roman" w:eastAsia="Times New Roman" w:hAnsi="Times New Roman" w:cs="Times New Roman"/>
          <w:b/>
          <w:bCs/>
          <w:kern w:val="0"/>
          <w:sz w:val="27"/>
          <w:szCs w:val="27"/>
          <w:lang w:eastAsia="en-GB"/>
          <w14:ligatures w14:val="none"/>
        </w:rPr>
        <w:t>Annual Budget and Financial Performance Analysis</w:t>
      </w:r>
    </w:p>
    <w:p w14:paraId="5F856DEB"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The Marketing Department plays a significant role in driving revenue growth, brand awareness, and customer acquisition for the company. During the financial year 2025–2026, the company allocated a total marketing budget of ₹12 crore to support advertising campaigns, digital promotions, product launches, and customer engagement activities. The objective of these investments was to strengthen market presence and increase overall sales performance across regional and national markets.</w:t>
      </w:r>
    </w:p>
    <w:p w14:paraId="1CD6B5AD"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A major portion of the marketing expenditure was directed toward digital advertising, which accounted for 40% of the total budget. Platforms such as social media, search engine marketing, email campaigns, and influencer partnerships generated substantial customer engagement and improved online visibility. Television and print advertising represented 25% of the expenditure, mainly focused on brand-building campaigns and seasonal promotions. The remaining budget was utilized for market research, sponsorships, promotional events, and customer loyalty programs.</w:t>
      </w:r>
    </w:p>
    <w:p w14:paraId="74047780"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The financial analysis of marketing activities indicated positive growth in sales revenue during the fiscal year. Marketing campaigns contributed to an estimated 18% increase in quarterly sales compared to the previous year. Digital campaigns delivered the highest return on investment (ROI), producing measurable growth in customer acquisition at relatively lower costs. The company’s finance division closely monitored campaign performance using metrics such as customer conversion rates, cost per acquisition, and overall profitability.</w:t>
      </w:r>
    </w:p>
    <w:p w14:paraId="6A69588B"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The collaboration between the finance and marketing departments ensured effective allocation of resources and controlled operational expenses. Monthly financial reviews were conducted to compare actual expenditures against projected budgets. This helped management identify areas of overspending and redirect funds toward high-performing campaigns. Cost optimization strategies, including automated digital tools and targeted advertising, also improved financial efficiency.</w:t>
      </w:r>
    </w:p>
    <w:p w14:paraId="6676ADAD"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Despite positive outcomes, the department faced challenges such as rising advertising costs, changing consumer preferences, and increased market competition. To address these issues, the company plans to invest further in data analytics, customer relationship management systems, and AI-driven marketing strategies during the next financial year.</w:t>
      </w:r>
    </w:p>
    <w:p w14:paraId="71F1B63D" w14:textId="77777777" w:rsidR="00F105BA" w:rsidRPr="00F105BA" w:rsidRDefault="00F105BA" w:rsidP="00F105B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5BA">
        <w:rPr>
          <w:rFonts w:ascii="Times New Roman" w:eastAsia="Times New Roman" w:hAnsi="Times New Roman" w:cs="Times New Roman"/>
          <w:kern w:val="0"/>
          <w:lang w:eastAsia="en-GB"/>
          <w14:ligatures w14:val="none"/>
        </w:rPr>
        <w:t>In conclusion, the company’s marketing finance performance remained strong throughout the year, supported by strategic budgeting and effective campaign management. Continued coordination between financial planning and marketing execution will remain essential for sustaining profitability, market expansion, and long-term business growth.</w:t>
      </w:r>
    </w:p>
    <w:p w14:paraId="2A1204D0" w14:textId="77777777" w:rsidR="00F105BA" w:rsidRDefault="00F105BA"/>
    <w:sectPr w:rsidR="00F10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BA"/>
    <w:rsid w:val="00A334A3"/>
    <w:rsid w:val="00F10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F34F46"/>
  <w15:chartTrackingRefBased/>
  <w15:docId w15:val="{952658B8-38EE-1743-A143-A4754313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BA"/>
    <w:rPr>
      <w:rFonts w:eastAsiaTheme="majorEastAsia" w:cstheme="majorBidi"/>
      <w:color w:val="272727" w:themeColor="text1" w:themeTint="D8"/>
    </w:rPr>
  </w:style>
  <w:style w:type="paragraph" w:styleId="Title">
    <w:name w:val="Title"/>
    <w:basedOn w:val="Normal"/>
    <w:next w:val="Normal"/>
    <w:link w:val="TitleChar"/>
    <w:uiPriority w:val="10"/>
    <w:qFormat/>
    <w:rsid w:val="00F1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BA"/>
    <w:pPr>
      <w:spacing w:before="160"/>
      <w:jc w:val="center"/>
    </w:pPr>
    <w:rPr>
      <w:i/>
      <w:iCs/>
      <w:color w:val="404040" w:themeColor="text1" w:themeTint="BF"/>
    </w:rPr>
  </w:style>
  <w:style w:type="character" w:customStyle="1" w:styleId="QuoteChar">
    <w:name w:val="Quote Char"/>
    <w:basedOn w:val="DefaultParagraphFont"/>
    <w:link w:val="Quote"/>
    <w:uiPriority w:val="29"/>
    <w:rsid w:val="00F105BA"/>
    <w:rPr>
      <w:i/>
      <w:iCs/>
      <w:color w:val="404040" w:themeColor="text1" w:themeTint="BF"/>
    </w:rPr>
  </w:style>
  <w:style w:type="paragraph" w:styleId="ListParagraph">
    <w:name w:val="List Paragraph"/>
    <w:basedOn w:val="Normal"/>
    <w:uiPriority w:val="34"/>
    <w:qFormat/>
    <w:rsid w:val="00F105BA"/>
    <w:pPr>
      <w:ind w:left="720"/>
      <w:contextualSpacing/>
    </w:pPr>
  </w:style>
  <w:style w:type="character" w:styleId="IntenseEmphasis">
    <w:name w:val="Intense Emphasis"/>
    <w:basedOn w:val="DefaultParagraphFont"/>
    <w:uiPriority w:val="21"/>
    <w:qFormat/>
    <w:rsid w:val="00F105BA"/>
    <w:rPr>
      <w:i/>
      <w:iCs/>
      <w:color w:val="0F4761" w:themeColor="accent1" w:themeShade="BF"/>
    </w:rPr>
  </w:style>
  <w:style w:type="paragraph" w:styleId="IntenseQuote">
    <w:name w:val="Intense Quote"/>
    <w:basedOn w:val="Normal"/>
    <w:next w:val="Normal"/>
    <w:link w:val="IntenseQuoteChar"/>
    <w:uiPriority w:val="30"/>
    <w:qFormat/>
    <w:rsid w:val="00F1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5BA"/>
    <w:rPr>
      <w:i/>
      <w:iCs/>
      <w:color w:val="0F4761" w:themeColor="accent1" w:themeShade="BF"/>
    </w:rPr>
  </w:style>
  <w:style w:type="character" w:styleId="IntenseReference">
    <w:name w:val="Intense Reference"/>
    <w:basedOn w:val="DefaultParagraphFont"/>
    <w:uiPriority w:val="32"/>
    <w:qFormat/>
    <w:rsid w:val="00F105BA"/>
    <w:rPr>
      <w:b/>
      <w:bCs/>
      <w:smallCaps/>
      <w:color w:val="0F4761" w:themeColor="accent1" w:themeShade="BF"/>
      <w:spacing w:val="5"/>
    </w:rPr>
  </w:style>
  <w:style w:type="paragraph" w:styleId="NormalWeb">
    <w:name w:val="Normal (Web)"/>
    <w:basedOn w:val="Normal"/>
    <w:uiPriority w:val="99"/>
    <w:semiHidden/>
    <w:unhideWhenUsed/>
    <w:rsid w:val="00F105B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757_Apeksha_Saxena</dc:creator>
  <cp:keywords/>
  <dc:description/>
  <cp:lastModifiedBy>757_Apeksha_Saxena</cp:lastModifiedBy>
  <cp:revision>1</cp:revision>
  <dcterms:created xsi:type="dcterms:W3CDTF">2026-05-22T06:16:00Z</dcterms:created>
  <dcterms:modified xsi:type="dcterms:W3CDTF">2026-05-22T06:16:00Z</dcterms:modified>
</cp:coreProperties>
</file>