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F9D" w:rsidRDefault="0017595D">
      <w:pPr>
        <w:spacing w:before="400"/>
        <w:jc w:val="center"/>
      </w:pPr>
      <w:r>
        <w:rPr>
          <w:b/>
          <w:bCs/>
          <w:color w:val="444444"/>
          <w:sz w:val="20"/>
          <w:szCs w:val="20"/>
        </w:rPr>
        <w:t>TECHAXIS REMOTE DATA SCIE</w:t>
      </w:r>
      <w:r w:rsidR="00CE608D">
        <w:rPr>
          <w:b/>
          <w:bCs/>
          <w:color w:val="444444"/>
          <w:sz w:val="20"/>
          <w:szCs w:val="20"/>
        </w:rPr>
        <w:t>E INTERNSHIP</w:t>
      </w:r>
    </w:p>
    <w:p w:rsidR="003D5F9D" w:rsidRDefault="00CE608D">
      <w:pPr>
        <w:spacing w:before="160"/>
        <w:jc w:val="center"/>
      </w:pPr>
      <w:r>
        <w:rPr>
          <w:color w:val="444444"/>
          <w:sz w:val="18"/>
          <w:szCs w:val="18"/>
        </w:rPr>
        <w:t>WEEK 2 — EDA REPORT</w:t>
      </w:r>
    </w:p>
    <w:p w:rsidR="003D5F9D" w:rsidRDefault="00CE608D">
      <w:pPr>
        <w:spacing w:before="280"/>
        <w:jc w:val="center"/>
      </w:pPr>
      <w:r>
        <w:rPr>
          <w:b/>
          <w:bCs/>
          <w:color w:val="000000"/>
          <w:sz w:val="48"/>
          <w:szCs w:val="48"/>
        </w:rPr>
        <w:t>Data Cleaning &amp;</w:t>
      </w:r>
    </w:p>
    <w:p w:rsidR="003D5F9D" w:rsidRDefault="00CE608D">
      <w:pPr>
        <w:jc w:val="center"/>
      </w:pPr>
      <w:r>
        <w:rPr>
          <w:b/>
          <w:bCs/>
          <w:color w:val="000000"/>
          <w:sz w:val="48"/>
          <w:szCs w:val="48"/>
        </w:rPr>
        <w:t>Exploratory Data Analysis</w:t>
      </w:r>
    </w:p>
    <w:p w:rsidR="003D5F9D" w:rsidRDefault="00CE608D">
      <w:pPr>
        <w:spacing w:before="160"/>
        <w:jc w:val="center"/>
      </w:pPr>
      <w:r>
        <w:rPr>
          <w:color w:val="444444"/>
        </w:rPr>
        <w:t>Project #6 — Employee Attrition Predictor</w:t>
      </w:r>
    </w:p>
    <w:p w:rsidR="003D5F9D" w:rsidRDefault="00CE608D">
      <w:pPr>
        <w:pBdr>
          <w:bottom w:val="single" w:sz="8" w:space="0" w:color="000000"/>
        </w:pBdr>
        <w:spacing w:before="320" w:after="320"/>
        <w:jc w:val="center"/>
      </w:pPr>
      <w:r>
        <w:rPr>
          <w:color w:val="666666"/>
          <w:sz w:val="18"/>
          <w:szCs w:val="18"/>
        </w:rPr>
        <w:t>Dataset: hr_attrition.csv  |  1,470 records analyzed</w:t>
      </w:r>
    </w:p>
    <w:p w:rsidR="003D5F9D" w:rsidRDefault="003D5F9D">
      <w:pPr>
        <w:spacing w:after="200"/>
      </w:pPr>
    </w:p>
    <w:p w:rsidR="0017595D" w:rsidRDefault="0017595D">
      <w:pPr>
        <w:spacing w:after="200"/>
      </w:pPr>
    </w:p>
    <w:p w:rsidR="003D5F9D" w:rsidRDefault="00CE608D">
      <w:pPr>
        <w:pStyle w:val="Heading1"/>
        <w:pBdr>
          <w:bottom w:val="single" w:sz="8" w:space="0" w:color="000000"/>
        </w:pBdr>
      </w:pPr>
      <w:r>
        <w:rPr>
          <w:color w:val="000000"/>
          <w:sz w:val="28"/>
          <w:szCs w:val="28"/>
        </w:rPr>
        <w:t>1. Report Summary</w:t>
      </w:r>
    </w:p>
    <w:p w:rsidR="003D5F9D" w:rsidRDefault="003D5F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Dataset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hr_attrition.csv (IBM HR Analytics Employee Attrition)</w:t>
            </w:r>
          </w:p>
        </w:tc>
      </w:tr>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Rows × Columns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1,470 rows × 35 columns (raw)</w:t>
            </w:r>
          </w:p>
        </w:tc>
      </w:tr>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Final Cleaned Shape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1,470 rows × 32 columns (after dropping constants/ID)</w:t>
            </w:r>
          </w:p>
        </w:tc>
      </w:tr>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Missing Values Found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0 — no imputation required</w:t>
            </w:r>
          </w:p>
        </w:tc>
      </w:tr>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Class Balance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83.9% No Attrition / 16.1% Yes Attrition — Imbalanced</w:t>
            </w:r>
          </w:p>
        </w:tc>
      </w:tr>
      <w:tr w:rsidR="003D5F9D">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b/>
                <w:bCs/>
                <w:color w:val="000000"/>
                <w:sz w:val="20"/>
                <w:szCs w:val="20"/>
              </w:rPr>
              <w:t>Output File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5F9D" w:rsidRDefault="00CE608D">
            <w:r>
              <w:rPr>
                <w:color w:val="1A1A1A"/>
                <w:sz w:val="20"/>
                <w:szCs w:val="20"/>
              </w:rPr>
              <w:t>hr_attrition_cleaned.csv</w:t>
            </w:r>
          </w:p>
        </w:tc>
      </w:tr>
    </w:tbl>
    <w:p w:rsidR="003D5F9D" w:rsidRDefault="003D5F9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17595D" w:rsidRDefault="0017595D">
      <w:pPr>
        <w:spacing w:after="160"/>
      </w:pPr>
    </w:p>
    <w:p w:rsidR="003D5F9D" w:rsidRDefault="00CE608D">
      <w:pPr>
        <w:pStyle w:val="Heading1"/>
        <w:pBdr>
          <w:bottom w:val="single" w:sz="8" w:space="0" w:color="000000"/>
        </w:pBdr>
      </w:pPr>
      <w:r>
        <w:rPr>
          <w:color w:val="000000"/>
          <w:sz w:val="28"/>
          <w:szCs w:val="28"/>
        </w:rPr>
        <w:lastRenderedPageBreak/>
        <w:t>2. Data Profiling Results</w:t>
      </w:r>
    </w:p>
    <w:p w:rsidR="003D5F9D" w:rsidRDefault="003D5F9D">
      <w:pPr>
        <w:spacing w:after="80"/>
      </w:pPr>
    </w:p>
    <w:p w:rsidR="003D5F9D" w:rsidRDefault="00CE608D">
      <w:pPr>
        <w:pBdr>
          <w:bottom w:val="single" w:sz="4" w:space="0" w:color="000000"/>
        </w:pBdr>
        <w:spacing w:before="200" w:after="80"/>
      </w:pPr>
      <w:r>
        <w:rPr>
          <w:b/>
          <w:bCs/>
          <w:color w:val="000000"/>
          <w:sz w:val="23"/>
          <w:szCs w:val="23"/>
        </w:rPr>
        <w:t>2.1 Missing Value Check</w:t>
      </w:r>
    </w:p>
    <w:p w:rsidR="003D5F9D" w:rsidRDefault="00CE608D">
      <w:pPr>
        <w:spacing w:after="100"/>
      </w:pPr>
      <w:r>
        <w:rPr>
          <w:color w:val="1A1A1A"/>
        </w:rPr>
        <w:t>A complete null-value scan was run across all 35 columns. The dataset contains zero missing values — this is consistent with it being a clean, synthetic benchmark dataset published by IBM. No imputation strategy was required.</w:t>
      </w:r>
    </w:p>
    <w:p w:rsidR="003D5F9D" w:rsidRDefault="00CE608D">
      <w:pPr>
        <w:spacing w:before="100" w:after="60"/>
        <w:jc w:val="center"/>
      </w:pPr>
      <w:r>
        <w:rPr>
          <w:noProof/>
        </w:rPr>
        <w:drawing>
          <wp:inline distT="0" distB="0" distL="0" distR="0">
            <wp:extent cx="3667125"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67125" cy="2276475"/>
                    </a:xfrm>
                    <a:prstGeom prst="rect">
                      <a:avLst/>
                    </a:prstGeom>
                  </pic:spPr>
                </pic:pic>
              </a:graphicData>
            </a:graphic>
          </wp:inline>
        </w:drawing>
      </w:r>
    </w:p>
    <w:p w:rsidR="003D5F9D" w:rsidRDefault="00CE608D">
      <w:pPr>
        <w:spacing w:after="200"/>
        <w:jc w:val="center"/>
      </w:pPr>
      <w:r>
        <w:rPr>
          <w:i/>
          <w:iCs/>
          <w:color w:val="666666"/>
          <w:sz w:val="18"/>
          <w:szCs w:val="18"/>
        </w:rPr>
        <w:t>Figure 1 — Missing value mat</w:t>
      </w:r>
      <w:r>
        <w:rPr>
          <w:i/>
          <w:iCs/>
          <w:color w:val="666666"/>
          <w:sz w:val="18"/>
          <w:szCs w:val="18"/>
        </w:rPr>
        <w:t>rix (fully solid white = no missing data)</w:t>
      </w:r>
    </w:p>
    <w:p w:rsidR="003D5F9D" w:rsidRDefault="00CE608D">
      <w:pPr>
        <w:pBdr>
          <w:bottom w:val="single" w:sz="4" w:space="0" w:color="000000"/>
        </w:pBdr>
        <w:spacing w:before="200" w:after="80"/>
      </w:pPr>
      <w:r>
        <w:rPr>
          <w:b/>
          <w:bCs/>
          <w:color w:val="000000"/>
          <w:sz w:val="23"/>
          <w:szCs w:val="23"/>
        </w:rPr>
        <w:t>2.2 Columns Dropped (Non-Predictive)</w:t>
      </w:r>
    </w:p>
    <w:p w:rsidR="003D5F9D" w:rsidRDefault="00CE608D">
      <w:pPr>
        <w:spacing w:after="100"/>
      </w:pPr>
      <w:r>
        <w:rPr>
          <w:color w:val="1A1A1A"/>
        </w:rPr>
        <w:t>Four columns were removed because they carry zero predictive signal — confirmed by checking that they are constant or unique identifiers before dropping: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D5F9D">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Column</w:t>
            </w:r>
          </w:p>
        </w:tc>
        <w:tc>
          <w:tcPr>
            <w:tcW w:w="5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Reason for Dropp</w:t>
            </w:r>
            <w:r>
              <w:rPr>
                <w:b/>
                <w:bCs/>
                <w:color w:val="000000"/>
                <w:sz w:val="19"/>
                <w:szCs w:val="19"/>
              </w:rPr>
              <w:t>ing</w:t>
            </w:r>
          </w:p>
        </w:tc>
      </w:tr>
      <w:tr w:rsidR="003D5F9D">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EmployeeCount</w:t>
            </w:r>
          </w:p>
        </w:tc>
        <w:tc>
          <w:tcPr>
            <w:tcW w:w="5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Constant — every value is 1</w:t>
            </w:r>
          </w:p>
        </w:tc>
      </w:tr>
      <w:tr w:rsidR="003D5F9D">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Over18</w:t>
            </w:r>
          </w:p>
        </w:tc>
        <w:tc>
          <w:tcPr>
            <w:tcW w:w="5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Constant — every value is 'Y'</w:t>
            </w:r>
          </w:p>
        </w:tc>
      </w:tr>
      <w:tr w:rsidR="003D5F9D">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StandardHours</w:t>
            </w:r>
          </w:p>
        </w:tc>
        <w:tc>
          <w:tcPr>
            <w:tcW w:w="5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Constant — every value is 80</w:t>
            </w:r>
          </w:p>
        </w:tc>
      </w:tr>
      <w:tr w:rsidR="003D5F9D">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EmployeeNumber</w:t>
            </w:r>
          </w:p>
        </w:tc>
        <w:tc>
          <w:tcPr>
            <w:tcW w:w="53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Unique row identifier, not a feature</w:t>
            </w:r>
          </w:p>
        </w:tc>
      </w:tr>
    </w:tbl>
    <w:p w:rsidR="003D5F9D" w:rsidRDefault="003D5F9D">
      <w:pPr>
        <w:spacing w:after="160"/>
      </w:pPr>
    </w:p>
    <w:p w:rsidR="003D5F9D" w:rsidRDefault="00CE608D">
      <w:pPr>
        <w:pStyle w:val="Heading1"/>
        <w:pBdr>
          <w:bottom w:val="single" w:sz="8" w:space="0" w:color="000000"/>
        </w:pBdr>
      </w:pPr>
      <w:r>
        <w:rPr>
          <w:color w:val="000000"/>
          <w:sz w:val="28"/>
          <w:szCs w:val="28"/>
        </w:rPr>
        <w:t>3. Target Variable: Class Balance</w:t>
      </w:r>
    </w:p>
    <w:p w:rsidR="003D5F9D" w:rsidRDefault="003D5F9D">
      <w:pPr>
        <w:spacing w:after="80"/>
      </w:pPr>
    </w:p>
    <w:p w:rsidR="003D5F9D" w:rsidRDefault="00CE608D">
      <w:pPr>
        <w:spacing w:after="100"/>
      </w:pPr>
      <w:r>
        <w:rPr>
          <w:color w:val="1A1A1A"/>
        </w:rPr>
        <w:t>The target variable Attrition was encoded into a binary column (Attrition_Flag: Yes=1, No=0). The class distribution is significantly imbalanced: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D5F9D">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Class</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Count</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Percentage</w:t>
            </w:r>
          </w:p>
        </w:tc>
      </w:tr>
      <w:tr w:rsidR="003D5F9D">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No (Stayed)</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1,233</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83.9%</w:t>
            </w:r>
          </w:p>
        </w:tc>
      </w:tr>
      <w:tr w:rsidR="003D5F9D">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Yes (Left)</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237</w:t>
            </w:r>
          </w:p>
        </w:tc>
        <w:tc>
          <w:tcPr>
            <w:tcW w:w="312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16.1%</w:t>
            </w:r>
          </w:p>
        </w:tc>
      </w:tr>
    </w:tbl>
    <w:p w:rsidR="003D5F9D" w:rsidRDefault="00CE608D">
      <w:pPr>
        <w:spacing w:before="100" w:after="60"/>
        <w:jc w:val="center"/>
      </w:pPr>
      <w:r>
        <w:rPr>
          <w:noProof/>
        </w:rPr>
        <w:lastRenderedPageBreak/>
        <w:drawing>
          <wp:inline distT="0" distB="0" distL="0" distR="0">
            <wp:extent cx="3933825"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2438400"/>
                    </a:xfrm>
                    <a:prstGeom prst="rect">
                      <a:avLst/>
                    </a:prstGeom>
                  </pic:spPr>
                </pic:pic>
              </a:graphicData>
            </a:graphic>
          </wp:inline>
        </w:drawing>
      </w:r>
    </w:p>
    <w:p w:rsidR="003D5F9D" w:rsidRDefault="00CE608D">
      <w:pPr>
        <w:spacing w:after="200"/>
        <w:jc w:val="center"/>
      </w:pPr>
      <w:r>
        <w:rPr>
          <w:i/>
          <w:iCs/>
          <w:color w:val="666666"/>
          <w:sz w:val="18"/>
          <w:szCs w:val="18"/>
        </w:rPr>
        <w:t>Figure 2 — Attrition class distribution: count and percentage</w:t>
      </w:r>
    </w:p>
    <w:p w:rsidR="003D5F9D" w:rsidRDefault="00CE608D">
      <w:pPr>
        <w:spacing w:after="100"/>
      </w:pPr>
      <w:r>
        <w:rPr>
          <w:color w:val="1A1A1A"/>
        </w:rPr>
        <w:t xml:space="preserve">Decision: Because only 16.1% of employees left, training a model on this data as-is would bias predictions toward the majority class. SMOTE (Synthetic Minority Over-sampling) will be applied in </w:t>
      </w:r>
      <w:r>
        <w:rPr>
          <w:color w:val="1A1A1A"/>
        </w:rPr>
        <w:t>Week 4, and F1-score / Recall / ROC-AUC will be prioritized over raw accuracy during model evaluation.</w:t>
      </w:r>
    </w:p>
    <w:p w:rsidR="003D5F9D" w:rsidRDefault="003D5F9D">
      <w:pPr>
        <w:spacing w:after="160"/>
      </w:pPr>
    </w:p>
    <w:p w:rsidR="003D5F9D" w:rsidRDefault="00CE608D">
      <w:pPr>
        <w:pStyle w:val="Heading1"/>
        <w:pBdr>
          <w:bottom w:val="single" w:sz="8" w:space="0" w:color="000000"/>
        </w:pBdr>
      </w:pPr>
      <w:r>
        <w:rPr>
          <w:color w:val="000000"/>
          <w:sz w:val="28"/>
          <w:szCs w:val="28"/>
        </w:rPr>
        <w:t>4. Outlier Analysis</w:t>
      </w:r>
    </w:p>
    <w:p w:rsidR="003D5F9D" w:rsidRDefault="003D5F9D">
      <w:pPr>
        <w:spacing w:after="80"/>
      </w:pPr>
    </w:p>
    <w:p w:rsidR="003D5F9D" w:rsidRDefault="00CE608D">
      <w:pPr>
        <w:spacing w:after="100"/>
      </w:pPr>
      <w:r>
        <w:rPr>
          <w:color w:val="1A1A1A"/>
        </w:rPr>
        <w:t>Boxplots and the IQR method were used to scan all 14 key numeric columns for outliers.</w:t>
      </w:r>
    </w:p>
    <w:p w:rsidR="003D5F9D" w:rsidRDefault="00CE608D">
      <w:pPr>
        <w:spacing w:before="100" w:after="60"/>
        <w:jc w:val="center"/>
      </w:pPr>
      <w:r>
        <w:rPr>
          <w:noProof/>
        </w:rPr>
        <w:drawing>
          <wp:inline distT="0" distB="0" distL="0" distR="0">
            <wp:extent cx="4191000"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600325"/>
                    </a:xfrm>
                    <a:prstGeom prst="rect">
                      <a:avLst/>
                    </a:prstGeom>
                  </pic:spPr>
                </pic:pic>
              </a:graphicData>
            </a:graphic>
          </wp:inline>
        </w:drawing>
      </w:r>
    </w:p>
    <w:p w:rsidR="003D5F9D" w:rsidRDefault="00CE608D">
      <w:pPr>
        <w:spacing w:after="200"/>
        <w:jc w:val="center"/>
      </w:pPr>
      <w:r>
        <w:rPr>
          <w:i/>
          <w:iCs/>
          <w:color w:val="666666"/>
          <w:sz w:val="18"/>
          <w:szCs w:val="18"/>
        </w:rPr>
        <w:t>Figure 3 — Boxplots across numeric features for outlier inspection</w:t>
      </w:r>
    </w:p>
    <w:p w:rsidR="003D5F9D" w:rsidRDefault="00CE608D">
      <w:pPr>
        <w:spacing w:after="100"/>
      </w:pPr>
      <w:r>
        <w:rPr>
          <w:color w:val="1A1A1A"/>
        </w:rPr>
        <w:t>Finding: Outliers were detected primarily in MonthlyIncome, YearsAtCompany, TotalWorkingYears, and YearsSinceLastPromotion. These represent real, legitimate employees (e.g., senior staff wi</w:t>
      </w:r>
      <w:r>
        <w:rPr>
          <w:color w:val="1A1A1A"/>
        </w:rPr>
        <w:t>th long tenure or high pay) rather than data entry errors.</w:t>
      </w:r>
    </w:p>
    <w:p w:rsidR="003D5F9D" w:rsidRDefault="00CE608D">
      <w:pPr>
        <w:spacing w:after="100"/>
      </w:pPr>
      <w:r>
        <w:rPr>
          <w:color w:val="1A1A1A"/>
        </w:rPr>
        <w:t>Decision: No outliers were removed. Tree-based models (Random Forest, XGBoost) planned for Week 4 are naturally robust to outliers, making removal unnecessary and risking the loss of meaningful sig</w:t>
      </w:r>
      <w:r>
        <w:rPr>
          <w:color w:val="1A1A1A"/>
        </w:rPr>
        <w:t>nal.</w:t>
      </w:r>
    </w:p>
    <w:p w:rsidR="003D5F9D" w:rsidRDefault="003D5F9D">
      <w:pPr>
        <w:spacing w:after="160"/>
      </w:pPr>
    </w:p>
    <w:p w:rsidR="003D5F9D" w:rsidRDefault="00CE608D">
      <w:pPr>
        <w:pStyle w:val="Heading1"/>
        <w:pBdr>
          <w:bottom w:val="single" w:sz="8" w:space="0" w:color="000000"/>
        </w:pBdr>
      </w:pPr>
      <w:r>
        <w:rPr>
          <w:color w:val="000000"/>
          <w:sz w:val="28"/>
          <w:szCs w:val="28"/>
        </w:rPr>
        <w:t>5. Univariate Analysis</w:t>
      </w:r>
    </w:p>
    <w:p w:rsidR="003D5F9D" w:rsidRDefault="003D5F9D">
      <w:pPr>
        <w:spacing w:after="80"/>
      </w:pPr>
    </w:p>
    <w:p w:rsidR="003D5F9D" w:rsidRDefault="00CE608D">
      <w:pPr>
        <w:pBdr>
          <w:bottom w:val="single" w:sz="4" w:space="0" w:color="000000"/>
        </w:pBdr>
        <w:spacing w:before="200" w:after="80"/>
      </w:pPr>
      <w:r>
        <w:rPr>
          <w:b/>
          <w:bCs/>
          <w:color w:val="000000"/>
          <w:sz w:val="23"/>
          <w:szCs w:val="23"/>
        </w:rPr>
        <w:t>5.1 Numeric Feature Distributions</w:t>
      </w:r>
    </w:p>
    <w:p w:rsidR="003D5F9D" w:rsidRDefault="00CE608D">
      <w:pPr>
        <w:spacing w:before="100" w:after="60"/>
        <w:jc w:val="center"/>
      </w:pPr>
      <w:r>
        <w:rPr>
          <w:noProof/>
        </w:rPr>
        <w:drawing>
          <wp:inline distT="0" distB="0" distL="0" distR="0">
            <wp:extent cx="4191000" cy="2600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00325"/>
                    </a:xfrm>
                    <a:prstGeom prst="rect">
                      <a:avLst/>
                    </a:prstGeom>
                  </pic:spPr>
                </pic:pic>
              </a:graphicData>
            </a:graphic>
          </wp:inline>
        </w:drawing>
      </w:r>
    </w:p>
    <w:p w:rsidR="003D5F9D" w:rsidRDefault="00CE608D">
      <w:pPr>
        <w:spacing w:after="200"/>
        <w:jc w:val="center"/>
      </w:pPr>
      <w:r>
        <w:rPr>
          <w:i/>
          <w:iCs/>
          <w:color w:val="666666"/>
          <w:sz w:val="18"/>
          <w:szCs w:val="18"/>
        </w:rPr>
        <w:t>Figure 4 — Distribution histograms for all numeric features</w:t>
      </w:r>
    </w:p>
    <w:p w:rsidR="003D5F9D" w:rsidRDefault="00CE608D">
      <w:pPr>
        <w:pBdr>
          <w:bottom w:val="single" w:sz="4" w:space="0" w:color="000000"/>
        </w:pBdr>
        <w:spacing w:before="200" w:after="80"/>
      </w:pPr>
      <w:r>
        <w:rPr>
          <w:b/>
          <w:bCs/>
          <w:color w:val="000000"/>
          <w:sz w:val="23"/>
          <w:szCs w:val="23"/>
        </w:rPr>
        <w:t>5.2 Categorical Feature Distributions</w:t>
      </w:r>
    </w:p>
    <w:p w:rsidR="003D5F9D" w:rsidRDefault="00CE608D">
      <w:pPr>
        <w:spacing w:before="100" w:after="60"/>
        <w:jc w:val="center"/>
      </w:pPr>
      <w:r>
        <w:rPr>
          <w:noProof/>
        </w:rPr>
        <w:drawing>
          <wp:inline distT="0" distB="0" distL="0" distR="0">
            <wp:extent cx="3933825"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3825" cy="2438400"/>
                    </a:xfrm>
                    <a:prstGeom prst="rect">
                      <a:avLst/>
                    </a:prstGeom>
                  </pic:spPr>
                </pic:pic>
              </a:graphicData>
            </a:graphic>
          </wp:inline>
        </w:drawing>
      </w:r>
    </w:p>
    <w:p w:rsidR="003D5F9D" w:rsidRDefault="00CE608D">
      <w:pPr>
        <w:spacing w:after="200"/>
        <w:jc w:val="center"/>
      </w:pPr>
      <w:r>
        <w:rPr>
          <w:i/>
          <w:iCs/>
          <w:color w:val="666666"/>
          <w:sz w:val="18"/>
          <w:szCs w:val="18"/>
        </w:rPr>
        <w:t>Figure 5 — Frequency counts for categorical features</w:t>
      </w:r>
    </w:p>
    <w:p w:rsidR="003D5F9D" w:rsidRDefault="003D5F9D">
      <w:pPr>
        <w:spacing w:after="160"/>
      </w:pPr>
    </w:p>
    <w:p w:rsidR="003D5F9D" w:rsidRDefault="00CE608D">
      <w:pPr>
        <w:pStyle w:val="Heading1"/>
        <w:pBdr>
          <w:bottom w:val="single" w:sz="8" w:space="0" w:color="000000"/>
        </w:pBdr>
      </w:pPr>
      <w:r>
        <w:rPr>
          <w:color w:val="000000"/>
          <w:sz w:val="28"/>
          <w:szCs w:val="28"/>
        </w:rPr>
        <w:t>6. Bivariate Analysis — Features vs.</w:t>
      </w:r>
      <w:r>
        <w:rPr>
          <w:color w:val="000000"/>
          <w:sz w:val="28"/>
          <w:szCs w:val="28"/>
        </w:rPr>
        <w:t xml:space="preserve"> Attrition</w:t>
      </w:r>
    </w:p>
    <w:p w:rsidR="003D5F9D" w:rsidRDefault="003D5F9D">
      <w:pPr>
        <w:spacing w:after="80"/>
      </w:pPr>
    </w:p>
    <w:p w:rsidR="003D5F9D" w:rsidRDefault="00CE608D">
      <w:pPr>
        <w:pBdr>
          <w:bottom w:val="single" w:sz="4" w:space="0" w:color="000000"/>
        </w:pBdr>
        <w:spacing w:before="200" w:after="80"/>
      </w:pPr>
      <w:r>
        <w:rPr>
          <w:b/>
          <w:bCs/>
          <w:color w:val="000000"/>
          <w:sz w:val="23"/>
          <w:szCs w:val="23"/>
        </w:rPr>
        <w:t>6.1 Numeric Features vs. Attrition</w:t>
      </w:r>
    </w:p>
    <w:p w:rsidR="003D5F9D" w:rsidRDefault="00CE608D">
      <w:pPr>
        <w:spacing w:before="100" w:after="60"/>
        <w:jc w:val="center"/>
      </w:pPr>
      <w:r>
        <w:rPr>
          <w:noProof/>
        </w:rPr>
        <w:lastRenderedPageBreak/>
        <w:drawing>
          <wp:inline distT="0" distB="0" distL="0" distR="0">
            <wp:extent cx="3933825"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825" cy="2438400"/>
                    </a:xfrm>
                    <a:prstGeom prst="rect">
                      <a:avLst/>
                    </a:prstGeom>
                  </pic:spPr>
                </pic:pic>
              </a:graphicData>
            </a:graphic>
          </wp:inline>
        </w:drawing>
      </w:r>
    </w:p>
    <w:p w:rsidR="003D5F9D" w:rsidRDefault="00CE608D">
      <w:pPr>
        <w:spacing w:after="200"/>
        <w:jc w:val="center"/>
      </w:pPr>
      <w:r>
        <w:rPr>
          <w:i/>
          <w:iCs/>
          <w:color w:val="666666"/>
          <w:sz w:val="18"/>
          <w:szCs w:val="18"/>
        </w:rPr>
        <w:t>Figure 6 — Boxplots of key numeric features split by Attrition</w:t>
      </w:r>
    </w:p>
    <w:p w:rsidR="003D5F9D" w:rsidRDefault="00CE608D">
      <w:pPr>
        <w:pBdr>
          <w:bottom w:val="single" w:sz="4" w:space="0" w:color="000000"/>
        </w:pBdr>
        <w:spacing w:before="200" w:after="80"/>
      </w:pPr>
      <w:r>
        <w:rPr>
          <w:b/>
          <w:bCs/>
          <w:color w:val="000000"/>
          <w:sz w:val="23"/>
          <w:szCs w:val="23"/>
        </w:rPr>
        <w:t>6.2 Attrition Rate by Category (Actual Results)</w:t>
      </w:r>
    </w:p>
    <w:p w:rsidR="003D5F9D" w:rsidRDefault="00CE608D">
      <w:pPr>
        <w:spacing w:after="100"/>
      </w:pPr>
      <w:r>
        <w:rPr>
          <w:color w:val="1A1A1A"/>
        </w:rPr>
        <w:t>The exact attrition rate (%) was computed for every categorical feature. The strongest patterns found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Feature → Value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Attrition Rate</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OverTime = Yes</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30.5%</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OverTime = No</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10.4%</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MaritalStatus = Single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25.5%</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MaritalStatus = Married</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12.5%</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MaritalStatus = Divorced</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10.1%</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BusinessTravel = Frequent</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24.9%</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BusinessTravel = Rarely</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15.0%</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BusinessTravel = Non-Travel</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8.0%</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JobRole = Sales Representative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39.8%  (highest of all roles)</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JobRole = Research Director</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2.5%  (lowest of all roles)</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Department = Sales</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20.6%</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Department = R&amp;D</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13.8%</w:t>
            </w:r>
          </w:p>
        </w:tc>
      </w:tr>
    </w:tbl>
    <w:p w:rsidR="003D5F9D" w:rsidRDefault="00CE608D">
      <w:pPr>
        <w:spacing w:before="100" w:after="60"/>
        <w:jc w:val="center"/>
      </w:pPr>
      <w:r>
        <w:rPr>
          <w:noProof/>
        </w:rPr>
        <w:lastRenderedPageBreak/>
        <w:drawing>
          <wp:inline distT="0" distB="0" distL="0" distR="0">
            <wp:extent cx="3933825"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438400"/>
                    </a:xfrm>
                    <a:prstGeom prst="rect">
                      <a:avLst/>
                    </a:prstGeom>
                  </pic:spPr>
                </pic:pic>
              </a:graphicData>
            </a:graphic>
          </wp:inline>
        </w:drawing>
      </w:r>
    </w:p>
    <w:p w:rsidR="003D5F9D" w:rsidRDefault="00CE608D">
      <w:pPr>
        <w:spacing w:after="200"/>
        <w:jc w:val="center"/>
      </w:pPr>
      <w:r>
        <w:rPr>
          <w:i/>
          <w:iCs/>
          <w:color w:val="666666"/>
          <w:sz w:val="18"/>
          <w:szCs w:val="18"/>
        </w:rPr>
        <w:t>Figure 7 — Attrition rate (%) broken down by each categorical feature</w:t>
      </w:r>
    </w:p>
    <w:p w:rsidR="003D5F9D" w:rsidRDefault="003D5F9D">
      <w:pPr>
        <w:spacing w:after="160"/>
      </w:pPr>
    </w:p>
    <w:p w:rsidR="003D5F9D" w:rsidRDefault="00CE608D">
      <w:pPr>
        <w:pStyle w:val="Heading1"/>
        <w:pBdr>
          <w:bottom w:val="single" w:sz="8" w:space="0" w:color="000000"/>
        </w:pBdr>
      </w:pPr>
      <w:r>
        <w:rPr>
          <w:color w:val="000000"/>
          <w:sz w:val="28"/>
          <w:szCs w:val="28"/>
        </w:rPr>
        <w:t>7. Correlation Analysis (Mandatory Insights Tab Asset)</w:t>
      </w:r>
    </w:p>
    <w:p w:rsidR="003D5F9D" w:rsidRDefault="003D5F9D">
      <w:pPr>
        <w:spacing w:after="80"/>
      </w:pPr>
    </w:p>
    <w:p w:rsidR="003D5F9D" w:rsidRDefault="00CE608D">
      <w:pPr>
        <w:spacing w:after="100"/>
      </w:pPr>
      <w:r>
        <w:rPr>
          <w:color w:val="1A1A1A"/>
        </w:rPr>
        <w:t>Per the 2026 MLOps standard, a correlation heatmap is a compulsory component of the final Streamlit Insights Tab. The full numeric correlation matrix was generated and saved as correlation_heatmap_full.png for direct reuse in Week 7.</w:t>
      </w:r>
    </w:p>
    <w:p w:rsidR="003D5F9D" w:rsidRDefault="00CE608D">
      <w:pPr>
        <w:spacing w:before="100" w:after="60"/>
        <w:jc w:val="center"/>
      </w:pPr>
      <w:r>
        <w:rPr>
          <w:noProof/>
        </w:rPr>
        <w:drawing>
          <wp:inline distT="0" distB="0" distL="0" distR="0">
            <wp:extent cx="4191000" cy="2600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600325"/>
                    </a:xfrm>
                    <a:prstGeom prst="rect">
                      <a:avLst/>
                    </a:prstGeom>
                  </pic:spPr>
                </pic:pic>
              </a:graphicData>
            </a:graphic>
          </wp:inline>
        </w:drawing>
      </w:r>
    </w:p>
    <w:p w:rsidR="003D5F9D" w:rsidRDefault="00CE608D">
      <w:pPr>
        <w:spacing w:after="200"/>
        <w:jc w:val="center"/>
      </w:pPr>
      <w:r>
        <w:rPr>
          <w:i/>
          <w:iCs/>
          <w:color w:val="666666"/>
          <w:sz w:val="18"/>
          <w:szCs w:val="18"/>
        </w:rPr>
        <w:t>Figure 8 — Full correlation heatmap across all numeric features (Insights Tab asset)</w:t>
      </w:r>
    </w:p>
    <w:p w:rsidR="003D5F9D" w:rsidRDefault="00CE608D">
      <w:pPr>
        <w:pBdr>
          <w:bottom w:val="single" w:sz="4" w:space="0" w:color="000000"/>
        </w:pBdr>
        <w:spacing w:before="200" w:after="80"/>
      </w:pPr>
      <w:r>
        <w:rPr>
          <w:b/>
          <w:bCs/>
          <w:color w:val="000000"/>
          <w:sz w:val="23"/>
          <w:szCs w:val="23"/>
        </w:rPr>
        <w:t>7.1 Top Features Correlated with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Feature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b/>
                <w:bCs/>
                <w:color w:val="000000"/>
                <w:sz w:val="19"/>
                <w:szCs w:val="19"/>
              </w:rPr>
              <w:t>Correlation with Attrition</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TotalWorkingYears</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-0.171</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JobLevel</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-0.169</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YearsInCurrentRole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-0.161</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MonthlyIncome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-0.160</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lastRenderedPageBreak/>
              <w:t>Age</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-0.159</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YearsWithCurrManager</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-0.156</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StockOptionLevel</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-0.137</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YearsAtCompany</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-0.134</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JobInvolvement</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-0.130</w:t>
            </w:r>
          </w:p>
        </w:tc>
      </w:tr>
      <w:tr w:rsidR="003D5F9D">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JobSatisfaction</w:t>
            </w:r>
          </w:p>
        </w:tc>
        <w:tc>
          <w:tcPr>
            <w:tcW w:w="386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3D5F9D" w:rsidRDefault="00CE608D">
            <w:r>
              <w:rPr>
                <w:color w:val="1A1A1A"/>
                <w:sz w:val="19"/>
                <w:szCs w:val="19"/>
              </w:rPr>
              <w:t>-0.103</w:t>
            </w:r>
          </w:p>
        </w:tc>
      </w:tr>
    </w:tbl>
    <w:p w:rsidR="003D5F9D" w:rsidRDefault="00CE608D">
      <w:pPr>
        <w:spacing w:before="100" w:after="60"/>
        <w:jc w:val="center"/>
      </w:pPr>
      <w:r>
        <w:rPr>
          <w:noProof/>
        </w:rPr>
        <w:drawing>
          <wp:inline distT="0" distB="0" distL="0" distR="0">
            <wp:extent cx="3667125" cy="2276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67125" cy="2276475"/>
                    </a:xfrm>
                    <a:prstGeom prst="rect">
                      <a:avLst/>
                    </a:prstGeom>
                  </pic:spPr>
                </pic:pic>
              </a:graphicData>
            </a:graphic>
          </wp:inline>
        </w:drawing>
      </w:r>
    </w:p>
    <w:p w:rsidR="003D5F9D" w:rsidRDefault="00CE608D">
      <w:pPr>
        <w:spacing w:after="200"/>
        <w:jc w:val="center"/>
      </w:pPr>
      <w:r>
        <w:rPr>
          <w:i/>
          <w:iCs/>
          <w:color w:val="666666"/>
          <w:sz w:val="18"/>
          <w:szCs w:val="18"/>
        </w:rPr>
        <w:t>Figure 9 — Top 10 features ranked by correlation strength with Attrition</w:t>
      </w:r>
    </w:p>
    <w:p w:rsidR="003D5F9D" w:rsidRDefault="00CE608D">
      <w:pPr>
        <w:spacing w:after="100"/>
      </w:pPr>
      <w:r>
        <w:rPr>
          <w:color w:val="1A1A1A"/>
        </w:rPr>
        <w:t>Interpretation: All top correlations are negative, meaning more experience, higher job level, higher income, older age, and longer manager tenure are all associated with LOWER attrition. This aligns directly with the categorical findings above (Single, fre</w:t>
      </w:r>
      <w:r>
        <w:rPr>
          <w:color w:val="1A1A1A"/>
        </w:rPr>
        <w:t>quent travelers, and Sales Representatives — typically less tenured profiles — show the highest attrition).</w:t>
      </w:r>
    </w:p>
    <w:p w:rsidR="003D5F9D" w:rsidRDefault="003D5F9D">
      <w:pPr>
        <w:spacing w:after="160"/>
      </w:pPr>
    </w:p>
    <w:p w:rsidR="003D5F9D" w:rsidRDefault="00CE608D">
      <w:pPr>
        <w:pStyle w:val="Heading1"/>
        <w:pBdr>
          <w:bottom w:val="single" w:sz="8" w:space="0" w:color="000000"/>
        </w:pBdr>
      </w:pPr>
      <w:r>
        <w:rPr>
          <w:color w:val="000000"/>
          <w:sz w:val="28"/>
          <w:szCs w:val="28"/>
        </w:rPr>
        <w:t>8. Key Findings Summary</w:t>
      </w:r>
    </w:p>
    <w:p w:rsidR="003D5F9D" w:rsidRDefault="003D5F9D">
      <w:pPr>
        <w:spacing w:after="80"/>
      </w:pPr>
    </w:p>
    <w:p w:rsidR="003D5F9D" w:rsidRDefault="00CE608D">
      <w:pPr>
        <w:pStyle w:val="ListParagraph"/>
        <w:numPr>
          <w:ilvl w:val="0"/>
          <w:numId w:val="2"/>
        </w:numPr>
        <w:spacing w:after="80"/>
      </w:pPr>
      <w:r>
        <w:rPr>
          <w:color w:val="1A1A1A"/>
        </w:rPr>
        <w:t>Zero missing values — no imputation needed.</w:t>
      </w:r>
    </w:p>
    <w:p w:rsidR="003D5F9D" w:rsidRDefault="00CE608D">
      <w:pPr>
        <w:pStyle w:val="ListParagraph"/>
        <w:numPr>
          <w:ilvl w:val="0"/>
          <w:numId w:val="2"/>
        </w:numPr>
        <w:spacing w:after="80"/>
      </w:pPr>
      <w:r>
        <w:rPr>
          <w:color w:val="1A1A1A"/>
        </w:rPr>
        <w:t>Dataset is imbalanced: 83.9% stayed vs. 16.1% left — SMOTE required in Week 4.</w:t>
      </w:r>
    </w:p>
    <w:p w:rsidR="003D5F9D" w:rsidRDefault="00CE608D">
      <w:pPr>
        <w:pStyle w:val="ListParagraph"/>
        <w:numPr>
          <w:ilvl w:val="0"/>
          <w:numId w:val="2"/>
        </w:numPr>
        <w:spacing w:after="80"/>
      </w:pPr>
      <w:r>
        <w:rPr>
          <w:color w:val="1A1A1A"/>
        </w:rPr>
        <w:t>OverTime is the single strongest categorical driver: 30.5% attrition vs. 10.4% for non-overtime employees.</w:t>
      </w:r>
    </w:p>
    <w:p w:rsidR="003D5F9D" w:rsidRDefault="00CE608D">
      <w:pPr>
        <w:pStyle w:val="ListParagraph"/>
        <w:numPr>
          <w:ilvl w:val="0"/>
          <w:numId w:val="2"/>
        </w:numPr>
        <w:spacing w:after="80"/>
      </w:pPr>
      <w:r>
        <w:rPr>
          <w:color w:val="1A1A1A"/>
        </w:rPr>
        <w:t>Sales Representatives have the highest attrition rate of any job role at 39.8%.</w:t>
      </w:r>
    </w:p>
    <w:p w:rsidR="003D5F9D" w:rsidRDefault="00CE608D">
      <w:pPr>
        <w:pStyle w:val="ListParagraph"/>
        <w:numPr>
          <w:ilvl w:val="0"/>
          <w:numId w:val="2"/>
        </w:numPr>
        <w:spacing w:after="80"/>
      </w:pPr>
      <w:r>
        <w:rPr>
          <w:color w:val="1A1A1A"/>
        </w:rPr>
        <w:t>Single employees leave nearly 2.5x more often than married employees</w:t>
      </w:r>
      <w:r>
        <w:rPr>
          <w:color w:val="1A1A1A"/>
        </w:rPr>
        <w:t xml:space="preserve"> (25.5% vs 12.5%).</w:t>
      </w:r>
    </w:p>
    <w:p w:rsidR="003D5F9D" w:rsidRDefault="00CE608D">
      <w:pPr>
        <w:pStyle w:val="ListParagraph"/>
        <w:numPr>
          <w:ilvl w:val="0"/>
          <w:numId w:val="2"/>
        </w:numPr>
        <w:spacing w:after="80"/>
      </w:pPr>
      <w:r>
        <w:rPr>
          <w:color w:val="1A1A1A"/>
        </w:rPr>
        <w:t>Frequent business travelers attrite at over 3x the rate of non-travelers (24.9% vs 8.0%).</w:t>
      </w:r>
    </w:p>
    <w:p w:rsidR="003D5F9D" w:rsidRDefault="00CE608D">
      <w:pPr>
        <w:pStyle w:val="ListParagraph"/>
        <w:numPr>
          <w:ilvl w:val="0"/>
          <w:numId w:val="2"/>
        </w:numPr>
        <w:spacing w:after="80"/>
      </w:pPr>
      <w:r>
        <w:rPr>
          <w:color w:val="1A1A1A"/>
        </w:rPr>
        <w:t>Tenure and seniority features (TotalWorkingYears, JobLevel, YearsInCurrentRole) show the strongest numeric correlation with attrition — all negativ</w:t>
      </w:r>
      <w:r>
        <w:rPr>
          <w:color w:val="1A1A1A"/>
        </w:rPr>
        <w:t>e.</w:t>
      </w:r>
    </w:p>
    <w:p w:rsidR="003D5F9D" w:rsidRPr="0017595D" w:rsidRDefault="00CE608D">
      <w:pPr>
        <w:pStyle w:val="ListParagraph"/>
        <w:numPr>
          <w:ilvl w:val="0"/>
          <w:numId w:val="2"/>
        </w:numPr>
        <w:spacing w:after="80"/>
      </w:pPr>
      <w:r>
        <w:rPr>
          <w:color w:val="1A1A1A"/>
        </w:rPr>
        <w:t>Outliers in income/tenure fields were retained as legitimate values; tree-based models will be used in Week 4 to handle them naturally.</w:t>
      </w:r>
    </w:p>
    <w:p w:rsidR="0017595D" w:rsidRDefault="0017595D" w:rsidP="0017595D">
      <w:pPr>
        <w:spacing w:after="80"/>
      </w:pPr>
    </w:p>
    <w:p w:rsidR="0017595D" w:rsidRDefault="0017595D" w:rsidP="0017595D">
      <w:pPr>
        <w:spacing w:after="80"/>
      </w:pPr>
    </w:p>
    <w:p w:rsidR="003D5F9D" w:rsidRDefault="003D5F9D">
      <w:pPr>
        <w:spacing w:after="100"/>
      </w:pPr>
      <w:bookmarkStart w:id="0" w:name="_GoBack"/>
      <w:bookmarkEnd w:id="0"/>
    </w:p>
    <w:sectPr w:rsidR="003D5F9D">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608D" w:rsidRDefault="00CE608D">
      <w:r>
        <w:separator/>
      </w:r>
    </w:p>
  </w:endnote>
  <w:endnote w:type="continuationSeparator" w:id="0">
    <w:p w:rsidR="00CE608D" w:rsidRDefault="00CE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F9D" w:rsidRDefault="003D5F9D">
    <w:pPr>
      <w:pBdr>
        <w:top w:val="single" w:sz="4" w:space="0" w:color="CCCCCC"/>
      </w:pBdr>
    </w:pPr>
  </w:p>
  <w:p w:rsidR="003D5F9D" w:rsidRDefault="00CE608D">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17595D">
      <w:rPr>
        <w:color w:val="888888"/>
        <w:sz w:val="16"/>
        <w:szCs w:val="16"/>
      </w:rPr>
      <w:fldChar w:fldCharType="separate"/>
    </w:r>
    <w:r w:rsidR="0017595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17595D">
      <w:rPr>
        <w:color w:val="888888"/>
        <w:sz w:val="16"/>
        <w:szCs w:val="16"/>
      </w:rPr>
      <w:fldChar w:fldCharType="separate"/>
    </w:r>
    <w:r w:rsidR="0017595D">
      <w:rPr>
        <w:noProof/>
        <w:color w:val="888888"/>
        <w:sz w:val="16"/>
        <w:szCs w:val="16"/>
      </w:rPr>
      <w:t>7</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608D" w:rsidRDefault="00CE608D">
      <w:r>
        <w:separator/>
      </w:r>
    </w:p>
  </w:footnote>
  <w:footnote w:type="continuationSeparator" w:id="0">
    <w:p w:rsidR="00CE608D" w:rsidRDefault="00CE60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3D5F9D">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3D5F9D" w:rsidRDefault="003D5F9D"/>
      </w:tc>
      <w:tc>
        <w:tcPr>
          <w:tcW w:w="308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rsidR="003D5F9D" w:rsidRDefault="00CE608D">
          <w:pPr>
            <w:jc w:val="right"/>
          </w:pPr>
          <w:r>
            <w:rPr>
              <w:color w:val="666666"/>
              <w:sz w:val="16"/>
              <w:szCs w:val="16"/>
            </w:rPr>
            <w:t>Techaxis Internship 2026</w:t>
          </w:r>
        </w:p>
      </w:tc>
    </w:tr>
  </w:tbl>
  <w:p w:rsidR="003D5F9D" w:rsidRDefault="003D5F9D">
    <w:pPr>
      <w:pBdr>
        <w:bottom w:val="single" w:sz="6" w:space="0" w:color="00000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463A58"/>
    <w:multiLevelType w:val="hybridMultilevel"/>
    <w:tmpl w:val="0A40A8F6"/>
    <w:lvl w:ilvl="0" w:tplc="99E21E8C">
      <w:start w:val="1"/>
      <w:numFmt w:val="bullet"/>
      <w:lvlText w:val="•"/>
      <w:lvlJc w:val="left"/>
      <w:pPr>
        <w:ind w:left="720" w:hanging="360"/>
      </w:pPr>
    </w:lvl>
    <w:lvl w:ilvl="1" w:tplc="3EB27D6C">
      <w:numFmt w:val="decimal"/>
      <w:lvlText w:val=""/>
      <w:lvlJc w:val="left"/>
    </w:lvl>
    <w:lvl w:ilvl="2" w:tplc="36BE7224">
      <w:numFmt w:val="decimal"/>
      <w:lvlText w:val=""/>
      <w:lvlJc w:val="left"/>
    </w:lvl>
    <w:lvl w:ilvl="3" w:tplc="4E58F1DA">
      <w:numFmt w:val="decimal"/>
      <w:lvlText w:val=""/>
      <w:lvlJc w:val="left"/>
    </w:lvl>
    <w:lvl w:ilvl="4" w:tplc="E7A41EA6">
      <w:numFmt w:val="decimal"/>
      <w:lvlText w:val=""/>
      <w:lvlJc w:val="left"/>
    </w:lvl>
    <w:lvl w:ilvl="5" w:tplc="44E2F4DE">
      <w:numFmt w:val="decimal"/>
      <w:lvlText w:val=""/>
      <w:lvlJc w:val="left"/>
    </w:lvl>
    <w:lvl w:ilvl="6" w:tplc="6F42D95C">
      <w:numFmt w:val="decimal"/>
      <w:lvlText w:val=""/>
      <w:lvlJc w:val="left"/>
    </w:lvl>
    <w:lvl w:ilvl="7" w:tplc="24BC8A9A">
      <w:numFmt w:val="decimal"/>
      <w:lvlText w:val=""/>
      <w:lvlJc w:val="left"/>
    </w:lvl>
    <w:lvl w:ilvl="8" w:tplc="A4C495B2">
      <w:numFmt w:val="decimal"/>
      <w:lvlText w:val=""/>
      <w:lvlJc w:val="left"/>
    </w:lvl>
  </w:abstractNum>
  <w:abstractNum w:abstractNumId="1" w15:restartNumberingAfterBreak="0">
    <w:nsid w:val="7E5D7D37"/>
    <w:multiLevelType w:val="hybridMultilevel"/>
    <w:tmpl w:val="007A80D8"/>
    <w:lvl w:ilvl="0" w:tplc="547EB7FA">
      <w:start w:val="1"/>
      <w:numFmt w:val="bullet"/>
      <w:lvlText w:val="●"/>
      <w:lvlJc w:val="left"/>
      <w:pPr>
        <w:ind w:left="720" w:hanging="360"/>
      </w:pPr>
    </w:lvl>
    <w:lvl w:ilvl="1" w:tplc="66B0E114">
      <w:start w:val="1"/>
      <w:numFmt w:val="bullet"/>
      <w:lvlText w:val="○"/>
      <w:lvlJc w:val="left"/>
      <w:pPr>
        <w:ind w:left="1440" w:hanging="360"/>
      </w:pPr>
    </w:lvl>
    <w:lvl w:ilvl="2" w:tplc="4FD4FF5A">
      <w:start w:val="1"/>
      <w:numFmt w:val="bullet"/>
      <w:lvlText w:val="■"/>
      <w:lvlJc w:val="left"/>
      <w:pPr>
        <w:ind w:left="2160" w:hanging="360"/>
      </w:pPr>
    </w:lvl>
    <w:lvl w:ilvl="3" w:tplc="A886BA8A">
      <w:start w:val="1"/>
      <w:numFmt w:val="bullet"/>
      <w:lvlText w:val="●"/>
      <w:lvlJc w:val="left"/>
      <w:pPr>
        <w:ind w:left="2880" w:hanging="360"/>
      </w:pPr>
    </w:lvl>
    <w:lvl w:ilvl="4" w:tplc="B6AA2B6C">
      <w:start w:val="1"/>
      <w:numFmt w:val="bullet"/>
      <w:lvlText w:val="○"/>
      <w:lvlJc w:val="left"/>
      <w:pPr>
        <w:ind w:left="3600" w:hanging="360"/>
      </w:pPr>
    </w:lvl>
    <w:lvl w:ilvl="5" w:tplc="458678AA">
      <w:start w:val="1"/>
      <w:numFmt w:val="bullet"/>
      <w:lvlText w:val="■"/>
      <w:lvlJc w:val="left"/>
      <w:pPr>
        <w:ind w:left="4320" w:hanging="360"/>
      </w:pPr>
    </w:lvl>
    <w:lvl w:ilvl="6" w:tplc="786E97F6">
      <w:start w:val="1"/>
      <w:numFmt w:val="bullet"/>
      <w:lvlText w:val="●"/>
      <w:lvlJc w:val="left"/>
      <w:pPr>
        <w:ind w:left="5040" w:hanging="360"/>
      </w:pPr>
    </w:lvl>
    <w:lvl w:ilvl="7" w:tplc="5F70A22E">
      <w:start w:val="1"/>
      <w:numFmt w:val="bullet"/>
      <w:lvlText w:val="●"/>
      <w:lvlJc w:val="left"/>
      <w:pPr>
        <w:ind w:left="5760" w:hanging="360"/>
      </w:pPr>
    </w:lvl>
    <w:lvl w:ilvl="8" w:tplc="37508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9D"/>
    <w:rsid w:val="0017595D"/>
    <w:rsid w:val="003D5F9D"/>
    <w:rsid w:val="00CE6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9737F9-FDD1-4A4A-9BEC-EFBD6D78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FFFFFF"/>
      <w:sz w:val="30"/>
      <w:szCs w:val="30"/>
    </w:rPr>
  </w:style>
  <w:style w:type="paragraph" w:styleId="Heading2">
    <w:name w:val="heading 2"/>
    <w:qFormat/>
    <w:pPr>
      <w:spacing w:before="200" w:after="80"/>
      <w:outlineLvl w:val="1"/>
    </w:pPr>
    <w:rPr>
      <w:b/>
      <w:b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595D"/>
    <w:pPr>
      <w:tabs>
        <w:tab w:val="center" w:pos="4680"/>
        <w:tab w:val="right" w:pos="9360"/>
      </w:tabs>
    </w:pPr>
  </w:style>
  <w:style w:type="character" w:customStyle="1" w:styleId="HeaderChar">
    <w:name w:val="Header Char"/>
    <w:basedOn w:val="DefaultParagraphFont"/>
    <w:link w:val="Header"/>
    <w:uiPriority w:val="99"/>
    <w:rsid w:val="0017595D"/>
  </w:style>
  <w:style w:type="paragraph" w:styleId="Footer">
    <w:name w:val="footer"/>
    <w:basedOn w:val="Normal"/>
    <w:link w:val="FooterChar"/>
    <w:uiPriority w:val="99"/>
    <w:unhideWhenUsed/>
    <w:rsid w:val="0017595D"/>
    <w:pPr>
      <w:tabs>
        <w:tab w:val="center" w:pos="4680"/>
        <w:tab w:val="right" w:pos="9360"/>
      </w:tabs>
    </w:pPr>
  </w:style>
  <w:style w:type="character" w:customStyle="1" w:styleId="FooterChar">
    <w:name w:val="Footer Char"/>
    <w:basedOn w:val="DefaultParagraphFont"/>
    <w:link w:val="Footer"/>
    <w:uiPriority w:val="99"/>
    <w:rsid w:val="00175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I T R O 5</cp:lastModifiedBy>
  <cp:revision>2</cp:revision>
  <dcterms:created xsi:type="dcterms:W3CDTF">2026-06-20T04:09:00Z</dcterms:created>
  <dcterms:modified xsi:type="dcterms:W3CDTF">2026-06-20T04:14:00Z</dcterms:modified>
</cp:coreProperties>
</file>