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b w:val="true"/>
          <w:rFonts w:ascii="Calibri" w:hAnsi="Calibri"/>
          <w:sz w:val="24"/>
          <w:color w:val="333333"/>
        </w:rPr>
        <w:t xml:space="preserve">Risk model for Heart Failure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By Age and Sex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5F5F5F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5F5F5F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5F5F5F"/>
              <w:bottom w:val="single" w:sz="16" w:space="0" w:color="5F5F5F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Heart Failure</w:t>
            </w:r>
          </w:p>
        </w:tc>
        <w:tc>
          <w:tcPr>
            <w:tcBorders>
              <w:top w:val="single" w:sz="16" w:space="0" w:color="5F5F5F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5F5F5F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Variable</w:t>
            </w:r>
          </w:p>
        </w:tc>
        <w:tc>
          <w:tcPr>
            <w:tcBorders>
              <w:bottom w:val="single" w:sz="16" w:space="0" w:color="5F5F5F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</w:t>
            </w:r>
          </w:p>
        </w:tc>
        <w:tc>
          <w:tcPr>
            <w:tcBorders>
              <w:bottom w:val="single" w:sz="16" w:space="0" w:color="5F5F5F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No</w:t>
            </w:r>
            <w:r>
              <w:rPr>
                <w:rFonts w:ascii="Calibri" w:hAnsi="Calibri"/>
                <w:sz w:val="20"/>
              </w:rPr>
              <w:t xml:space="preserve">, N = 410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5F5F5F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Yes</w:t>
            </w:r>
            <w:r>
              <w:rPr>
                <w:rFonts w:ascii="Calibri" w:hAnsi="Calibri"/>
                <w:sz w:val="20"/>
              </w:rPr>
              <w:t xml:space="preserve">, N = 508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5F5F5F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Age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918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 (43, 57)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 (51, 62)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Sex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918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143 (35%)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(9.8%)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267 (65%)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458 (90%)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Blood Pressure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918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130 (120, 140)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132 (120, 145)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Cholesterol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918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227 (197, 267)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217 (0, 267)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Angina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918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355 (87%)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192 (38%)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 (13%)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316 (62%)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Median (IQR); n (%)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Wilcoxon rank sum test; Pearson's Chi-squared test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Source: MlR dataset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2023-12-31T10:03:06Z</dcterms:created>
  <dcterms:modified xsi:type="dcterms:W3CDTF">2023-12-31T10:03:06Z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