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color w:val="C99A46"/>
          <w:sz w:val="44"/>
        </w:rPr>
        <w:t xml:space="preserve">✦ </w:t>
      </w:r>
      <w:r>
        <w:rPr>
          <w:b/>
          <w:color w:val="16293D"/>
          <w:sz w:val="50"/>
        </w:rPr>
        <w:t>Waypoint Architecture and End-to-End Question Flow</w:t>
      </w:r>
    </w:p>
    <w:p>
      <w:pPr>
        <w:spacing w:after="200"/>
      </w:pPr>
      <w:r>
        <w:rPr>
          <w:color w:val="6B7B87"/>
          <w:sz w:val="20"/>
        </w:rPr>
        <w:t>Architecture baseline for the current Waypoint prototype</w:t>
      </w:r>
    </w:p>
    <w:tbl>
      <w:tblPr>
        <w:tblW w:type="auto" w:w="0"/>
        <w:jc w:val="center"/>
        <w:tblLayout w:type="fixed"/>
        <w:tblLook w:firstColumn="1" w:firstRow="1" w:lastColumn="0" w:lastRow="0" w:noHBand="0" w:noVBand="1" w:val="04A0"/>
      </w:tblPr>
      <w:tblGrid>
        <w:gridCol w:w="173"/>
        <w:gridCol w:w="9648"/>
      </w:tblGrid>
      <w:tr>
        <w:trPr>
          <w:cantSplit/>
        </w:trPr>
        <w:tc>
          <w:tcPr>
            <w:tcW w:type="dxa" w:w="5040"/>
            <w:shd w:fill="2E8B84"/>
            <w:tcBorders>
              <w:top w:val="nil"/>
              <w:left w:val="nil"/>
              <w:bottom w:val="nil"/>
              <w:right w:val="nil"/>
            </w:tcBorders>
          </w:tcPr>
          <w:p/>
        </w:tc>
        <w:tc>
          <w:tcPr>
            <w:tcW w:type="dxa" w:w="5040"/>
            <w:shd w:fill="E9F5F3"/>
            <w:tcBorders>
              <w:top w:val="nil"/>
              <w:left w:val="nil"/>
              <w:bottom w:val="nil"/>
              <w:right w:val="nil"/>
            </w:tcBorders>
          </w:tcPr>
          <w:p>
            <w:r>
              <w:rPr>
                <w:b/>
                <w:color w:val="16293D"/>
              </w:rPr>
              <w:t>Core product promise</w:t>
            </w:r>
          </w:p>
          <w:p>
            <w:pPr>
              <w:spacing w:after="40"/>
            </w:pPr>
            <w:r>
              <w:t>Answer when the indexed INZ Operational Manual provides sufficient support. Identify a corpus gap when the required Manual instruction is missing. Identify an external authoritative source when the answer belongs outside the Operational Manual.</w:t>
            </w:r>
          </w:p>
        </w:tc>
      </w:tr>
    </w:tbl>
    <w:p>
      <w:pPr>
        <w:spacing w:after="20"/>
      </w:pPr>
    </w:p>
    <w:p>
      <w:r>
        <w:rPr>
          <w:b/>
        </w:rPr>
        <w:t xml:space="preserve">Status: </w:t>
      </w:r>
      <w:r>
        <w:t>Architecture baseline / design documentation</w:t>
      </w:r>
    </w:p>
    <w:p>
      <w:r>
        <w:rPr>
          <w:b/>
        </w:rPr>
        <w:t xml:space="preserve">Scope: </w:t>
      </w:r>
      <w:r>
        <w:t>Runtime question flow, evidence-status logic, source-of-truth boundaries, UI contract, corpus ingestion, and evaluation controls</w:t>
      </w:r>
    </w:p>
    <w:p>
      <w:pPr>
        <w:pStyle w:val="Heading1"/>
      </w:pPr>
      <w:r>
        <w:t>1. Purpose</w:t>
      </w:r>
    </w:p>
    <w:p>
      <w:r>
        <w:t>Waypoint is a bounded retrieval-augmented generation (RAG) system for the publicly published Immigration New Zealand (INZ) Operational Manual. Its job is not merely to retrieve related immigration text. It must decide whether the indexed Manual contains enough evidence to support the proposition being answered and communicate that evidence boundary to the user.</w:t>
      </w:r>
    </w:p>
    <w:tbl>
      <w:tblPr>
        <w:tblW w:type="auto" w:w="0"/>
        <w:jc w:val="center"/>
        <w:tblLayout w:type="fixed"/>
        <w:tblLook w:firstColumn="1" w:firstRow="1" w:lastColumn="0" w:lastRow="0" w:noHBand="0" w:noVBand="1" w:val="04A0"/>
      </w:tblPr>
      <w:tblGrid>
        <w:gridCol w:w="173"/>
        <w:gridCol w:w="9648"/>
      </w:tblGrid>
      <w:tr>
        <w:trPr>
          <w:cantSplit/>
        </w:trPr>
        <w:tc>
          <w:tcPr>
            <w:tcW w:type="dxa" w:w="5040"/>
            <w:shd w:fill="C99A46"/>
            <w:tcBorders>
              <w:top w:val="nil"/>
              <w:left w:val="nil"/>
              <w:bottom w:val="nil"/>
              <w:right w:val="nil"/>
            </w:tcBorders>
          </w:tcPr>
          <w:p/>
        </w:tc>
        <w:tc>
          <w:tcPr>
            <w:tcW w:type="dxa" w:w="5040"/>
            <w:shd w:fill="F8F0E2"/>
            <w:tcBorders>
              <w:top w:val="nil"/>
              <w:left w:val="nil"/>
              <w:bottom w:val="nil"/>
              <w:right w:val="nil"/>
            </w:tcBorders>
          </w:tcPr>
          <w:p>
            <w:r>
              <w:rPr>
                <w:b/>
                <w:color w:val="16293D"/>
              </w:rPr>
              <w:t>Design invariant</w:t>
            </w:r>
          </w:p>
          <w:p>
            <w:pPr>
              <w:spacing w:after="40"/>
            </w:pPr>
            <w:r>
              <w:t>Waypoint must never present confidence merely because something relevant was retrieved. It should present an answer only when the retrieved authoritative evidence supports the proposition being answered.</w:t>
            </w:r>
          </w:p>
        </w:tc>
      </w:tr>
    </w:tbl>
    <w:p>
      <w:pPr>
        <w:spacing w:after="20"/>
      </w:pPr>
    </w:p>
    <w:p>
      <w:r>
        <w:t>Waypoint does not automatically fall back to general web search when the Manual cannot answer a question.</w:t>
      </w:r>
    </w:p>
    <w:p>
      <w:pPr>
        <w:pStyle w:val="Heading1"/>
      </w:pPr>
      <w:r>
        <w:t>2. Source-of-truth model</w:t>
      </w:r>
    </w:p>
    <w:p>
      <w:pPr>
        <w:pStyle w:val="Heading2"/>
      </w:pPr>
      <w:r>
        <w:t>2.1 Waypoint v1 evidence boundary</w:t>
      </w:r>
    </w:p>
    <w:p>
      <w:r>
        <w:t>For the current product, the indexed INZ Operational Manual is the primary runtime evidence base. This does not mean every authoritative immigration fact lives in the Manual. Some information is maintained elsewhere, including live service data, current fees, country-specific issuing procedures, external-agency assessment products, medical-assessor guidance, or another organisation's own eligibility definitions.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944"/>
            <w:shd w:fill="16293D"/>
            <w:vAlign w:val="center"/>
          </w:tcPr>
          <w:p>
            <w:r>
              <w:rPr>
                <w:b/>
                <w:color w:val="FFFFFF"/>
              </w:rPr>
              <w:t>Evidence status</w:t>
            </w:r>
          </w:p>
        </w:tc>
        <w:tc>
          <w:tcPr>
            <w:tcW w:type="dxa" w:w="3672"/>
            <w:shd w:fill="16293D"/>
            <w:vAlign w:val="center"/>
          </w:tcPr>
          <w:p>
            <w:r>
              <w:rPr>
                <w:b/>
                <w:color w:val="FFFFFF"/>
              </w:rPr>
              <w:t>Meaning</w:t>
            </w:r>
          </w:p>
        </w:tc>
        <w:tc>
          <w:tcPr>
            <w:tcW w:type="dxa" w:w="4032"/>
            <w:shd w:fill="16293D"/>
            <w:vAlign w:val="center"/>
          </w:tcPr>
          <w:p>
            <w:r>
              <w:rPr>
                <w:b/>
                <w:color w:val="FFFFFF"/>
              </w:rPr>
              <w:t>Product behaviour</w:t>
            </w:r>
          </w:p>
        </w:tc>
      </w:tr>
      <w:tr>
        <w:trPr>
          <w:cantSplit/>
        </w:trPr>
        <w:tc>
          <w:tcPr>
            <w:tcW w:type="dxa" w:w="1944"/>
          </w:tcPr>
          <w:p>
            <w:r>
              <w:t>sufficient</w:t>
            </w:r>
          </w:p>
        </w:tc>
        <w:tc>
          <w:tcPr>
            <w:tcW w:type="dxa" w:w="3672"/>
          </w:tcPr>
          <w:p>
            <w:r>
              <w:t>Retrieved Operational Manual evidence supports the proposition needed to answer the question.</w:t>
            </w:r>
          </w:p>
        </w:tc>
        <w:tc>
          <w:tcPr>
            <w:tcW w:type="dxa" w:w="4032"/>
          </w:tcPr>
          <w:p>
            <w:r>
              <w:t>Answer and cite the relevant Manual section(s).</w:t>
            </w:r>
          </w:p>
        </w:tc>
      </w:tr>
      <w:tr>
        <w:trPr>
          <w:cantSplit/>
        </w:trPr>
        <w:tc>
          <w:tcPr>
            <w:tcW w:type="dxa" w:w="1944"/>
            <w:shd w:fill="F7F8F6"/>
          </w:tcPr>
          <w:p>
            <w:r>
              <w:t>corpus_gap</w:t>
            </w:r>
          </w:p>
        </w:tc>
        <w:tc>
          <w:tcPr>
            <w:tcW w:type="dxa" w:w="3672"/>
            <w:shd w:fill="F7F8F6"/>
          </w:tcPr>
          <w:p>
            <w:r>
              <w:t>The required rule belongs in the Operational Manual, but the indexed corpus/evidence does not contain enough of it.</w:t>
            </w:r>
          </w:p>
        </w:tc>
        <w:tc>
          <w:tcPr>
            <w:tcW w:type="dxa" w:w="4032"/>
            <w:shd w:fill="F7F8F6"/>
          </w:tcPr>
          <w:p>
            <w:r>
              <w:t>Do not infer. Explain the missing Manual evidence and show related sections when useful.</w:t>
            </w:r>
          </w:p>
        </w:tc>
      </w:tr>
      <w:tr>
        <w:trPr>
          <w:cantSplit/>
        </w:trPr>
        <w:tc>
          <w:tcPr>
            <w:tcW w:type="dxa" w:w="1944"/>
          </w:tcPr>
          <w:p>
            <w:r>
              <w:t>external_source_required</w:t>
            </w:r>
          </w:p>
        </w:tc>
        <w:tc>
          <w:tcPr>
            <w:tcW w:type="dxa" w:w="3672"/>
          </w:tcPr>
          <w:p>
            <w:r>
              <w:t>The authoritative answer is maintained outside the Operational Manual.</w:t>
            </w:r>
          </w:p>
        </w:tc>
        <w:tc>
          <w:tcPr>
            <w:tcW w:type="dxa" w:w="4032"/>
          </w:tcPr>
          <w:p>
            <w:r>
              <w:t>Identify that another authoritative source is required. Do not pretend the Manual contains it.</w:t>
            </w:r>
          </w:p>
        </w:tc>
      </w:tr>
    </w:tbl>
    <w:p>
      <w:pPr>
        <w:spacing w:after="40"/>
      </w:pPr>
    </w:p>
    <w:p>
      <w:pPr>
        <w:pStyle w:val="Heading2"/>
      </w:pPr>
      <w:r>
        <w:t>2.2 Authority boundary</w:t>
      </w:r>
    </w:p>
    <w:p>
      <w:pPr>
        <w:pStyle w:val="CodeBlock"/>
        <w:spacing w:before="100" w:after="140"/>
        <w:ind w:left="259" w:right="259"/>
        <w:keepLines/>
        <w:shd w:fill="EFF1EC"/>
      </w:pPr>
      <w:r>
        <w:t>User question</w:t>
        <w:br/>
        <w:t xml:space="preserve">    |</w:t>
        <w:br/>
        <w:t xml:space="preserve">    v</w:t>
        <w:br/>
        <w:t>Where should the authoritative answer live?</w:t>
        <w:br/>
        <w:t xml:space="preserve">    |</w:t>
        <w:br/>
        <w:t xml:space="preserve">    +-- Operational Manual ----------------------------+</w:t>
        <w:br/>
        <w:t xml:space="preserve">    |                                                  |</w:t>
        <w:br/>
        <w:t xml:space="preserve">    |                         Is required Manual evidence indexed?</w:t>
        <w:br/>
        <w:t xml:space="preserve">    |                              |               |</w:t>
        <w:br/>
        <w:t xml:space="preserve">    |                             YES             NO</w:t>
        <w:br/>
        <w:t xml:space="preserve">    |                              |               |</w:t>
        <w:br/>
        <w:t xml:space="preserve">    |                         sufficient       corpus_gap</w:t>
        <w:br/>
        <w:t xml:space="preserve">    |                              |               |</w:t>
        <w:br/>
        <w:t xml:space="preserve">    |                      Answer + citations   Explain gap</w:t>
        <w:br/>
        <w:t xml:space="preserve">    |</w:t>
        <w:br/>
        <w:t xml:space="preserve">    +-- Outside Operational Manual --&gt; external_source_required</w:t>
        <w:br/>
        <w:t xml:space="preserve">                                      |</w:t>
        <w:br/>
        <w:t xml:space="preserve">                              Explain source boundary</w:t>
      </w:r>
    </w:p>
    <w:p>
      <w:pPr>
        <w:pStyle w:val="Heading2"/>
      </w:pPr>
      <w:r>
        <w:t>2.3 Deliberate exclusions in v1</w:t>
      </w:r>
    </w:p>
    <w:p>
      <w:pPr>
        <w:pStyle w:val="ListBullet"/>
        <w:spacing w:after="40"/>
      </w:pPr>
      <w:r>
        <w:t>No LIA, forum post, Reddit answer, Facebook comment, or search result is treated as authoritative runtime evidence.</w:t>
      </w:r>
    </w:p>
    <w:p>
      <w:pPr>
        <w:pStyle w:val="ListBullet"/>
        <w:spacing w:after="40"/>
      </w:pPr>
      <w:r>
        <w:t>No automatic open-web fallback after an evidence gap.</w:t>
      </w:r>
    </w:p>
    <w:p>
      <w:pPr>
        <w:pStyle w:val="ListBullet"/>
        <w:spacing w:after="40"/>
      </w:pPr>
      <w:r>
        <w:t>No evaluation gold labels, expected answers, or expected section codes are available to runtime code.</w:t>
      </w:r>
    </w:p>
    <w:p>
      <w:pPr>
        <w:pStyle w:val="ListBullet"/>
        <w:spacing w:after="40"/>
      </w:pPr>
      <w:r>
        <w:t>No missing policy is converted into a personalised immigration recommendation.</w:t>
      </w:r>
    </w:p>
    <w:p>
      <w:r>
        <w:t>A future Official Sources layer can be added later, but it should use explicitly allowlisted authoritative source families rather than unrestricted search.</w:t>
      </w:r>
    </w:p>
    <w:p>
      <w:pPr>
        <w:pStyle w:val="Heading1"/>
      </w:pPr>
      <w:r>
        <w:t>3. System architecture</w:t>
      </w:r>
    </w:p>
    <w:p>
      <w:pPr>
        <w:pStyle w:val="Heading2"/>
      </w:pPr>
      <w:r>
        <w:t>3.1 Runtime architecture</w:t>
      </w:r>
    </w:p>
    <w:p>
      <w:pPr>
        <w:pStyle w:val="CodeBlock"/>
        <w:spacing w:before="100" w:after="140"/>
        <w:ind w:left="259" w:right="259"/>
        <w:keepLines/>
        <w:shd w:fill="EFF1EC"/>
      </w:pPr>
      <w:r>
        <w:t>React / mobile-first UI</w:t>
        <w:br/>
        <w:t xml:space="preserve">        |</w:t>
        <w:br/>
        <w:t xml:space="preserve">        | POST /ask</w:t>
        <w:br/>
        <w:t xml:space="preserve">        v</w:t>
        <w:br/>
        <w:t>FastAPI ask endpoint</w:t>
        <w:br/>
        <w:t xml:space="preserve">        |</w:t>
        <w:br/>
        <w:t xml:space="preserve">        +--&gt; OpenAI question embedding</w:t>
        <w:br/>
        <w:t xml:space="preserve">        |</w:t>
        <w:br/>
        <w:t xml:space="preserve">        +--&gt; Hybrid retrieval</w:t>
        <w:br/>
        <w:t xml:space="preserve">              |</w:t>
        <w:br/>
        <w:t xml:space="preserve">              +--&gt; pgvector cosine search (top 20)</w:t>
        <w:br/>
        <w:t xml:space="preserve">              +--&gt; PostgreSQL full-text search (top 20)</w:t>
        <w:br/>
        <w:t xml:space="preserve">              |</w:t>
        <w:br/>
        <w:t xml:space="preserve">              v</w:t>
        <w:br/>
        <w:t xml:space="preserve">        Reciprocal Rank Fusion (RRF k=60)</w:t>
        <w:br/>
        <w:t xml:space="preserve">              |</w:t>
        <w:br/>
        <w:t xml:space="preserve">              v</w:t>
        <w:br/>
        <w:t xml:space="preserve">        Top 5 evidence chunks</w:t>
        <w:br/>
        <w:t xml:space="preserve">              |</w:t>
        <w:br/>
        <w:t xml:space="preserve">              v</w:t>
        <w:br/>
        <w:t xml:space="preserve">        Answer model (structured JSON)</w:t>
        <w:br/>
        <w:t xml:space="preserve">              |</w:t>
        <w:br/>
        <w:t xml:space="preserve">              v</w:t>
        <w:br/>
        <w:t xml:space="preserve">        API validation / outcome derivation / citation filtering</w:t>
        <w:br/>
        <w:t xml:space="preserve">              |</w:t>
        <w:br/>
        <w:t xml:space="preserve">              v</w:t>
        <w:br/>
        <w:t xml:space="preserve">        AskResponse</w:t>
        <w:br/>
        <w:t xml:space="preserve">              |</w:t>
        <w:br/>
        <w:t xml:space="preserve">              v</w:t>
        <w:br/>
        <w:t xml:space="preserve">        Evidence-aware UI</w:t>
      </w:r>
    </w:p>
    <w:tbl>
      <w:tblPr>
        <w:tblStyle w:val="TableGrid"/>
        <w:tblW w:type="auto" w:w="0"/>
        <w:jc w:val="center"/>
        <w:tblLook w:firstColumn="1" w:firstRow="1" w:lastColumn="0" w:lastRow="0" w:noHBand="0" w:noVBand="1" w:val="04A0"/>
      </w:tblPr>
      <w:tblGrid>
        <w:gridCol w:w="5040"/>
        <w:gridCol w:w="5040"/>
      </w:tblGrid>
      <w:tr>
        <w:trPr>
          <w:cantSplit/>
        </w:trPr>
        <w:tc>
          <w:tcPr>
            <w:tcW w:type="dxa" w:w="2592"/>
            <w:shd w:fill="16293D"/>
            <w:vAlign w:val="center"/>
          </w:tcPr>
          <w:p>
            <w:r>
              <w:rPr>
                <w:b/>
                <w:color w:val="FFFFFF"/>
              </w:rPr>
              <w:t>Layer</w:t>
            </w:r>
          </w:p>
        </w:tc>
        <w:tc>
          <w:tcPr>
            <w:tcW w:type="dxa" w:w="7200"/>
            <w:shd w:fill="16293D"/>
            <w:vAlign w:val="center"/>
          </w:tcPr>
          <w:p>
            <w:r>
              <w:rPr>
                <w:b/>
                <w:color w:val="FFFFFF"/>
              </w:rPr>
              <w:t>Current design</w:t>
            </w:r>
          </w:p>
        </w:tc>
      </w:tr>
      <w:tr>
        <w:trPr>
          <w:cantSplit/>
        </w:trPr>
        <w:tc>
          <w:tcPr>
            <w:tcW w:type="dxa" w:w="2592"/>
          </w:tcPr>
          <w:p>
            <w:r>
              <w:t>UI</w:t>
            </w:r>
          </w:p>
        </w:tc>
        <w:tc>
          <w:tcPr>
            <w:tcW w:type="dxa" w:w="7200"/>
          </w:tcPr>
          <w:p>
            <w:r>
              <w:t>React/Vite, mobile-first Ask / Browse / About experience</w:t>
            </w:r>
          </w:p>
        </w:tc>
      </w:tr>
      <w:tr>
        <w:trPr>
          <w:cantSplit/>
        </w:trPr>
        <w:tc>
          <w:tcPr>
            <w:tcW w:type="dxa" w:w="2592"/>
            <w:shd w:fill="F7F8F6"/>
          </w:tcPr>
          <w:p>
            <w:r>
              <w:t>API</w:t>
            </w:r>
          </w:p>
        </w:tc>
        <w:tc>
          <w:tcPr>
            <w:tcW w:type="dxa" w:w="7200"/>
            <w:shd w:fill="F7F8F6"/>
          </w:tcPr>
          <w:p>
            <w:r>
              <w:t>FastAPI</w:t>
            </w:r>
          </w:p>
        </w:tc>
      </w:tr>
      <w:tr>
        <w:trPr>
          <w:cantSplit/>
        </w:trPr>
        <w:tc>
          <w:tcPr>
            <w:tcW w:type="dxa" w:w="2592"/>
          </w:tcPr>
          <w:p>
            <w:r>
              <w:t>Embeddings</w:t>
            </w:r>
          </w:p>
        </w:tc>
        <w:tc>
          <w:tcPr>
            <w:tcW w:type="dxa" w:w="7200"/>
          </w:tcPr>
          <w:p>
            <w:r>
              <w:t>OpenAI text-embedding-3-small, 1536 dimensions</w:t>
            </w:r>
          </w:p>
        </w:tc>
      </w:tr>
      <w:tr>
        <w:trPr>
          <w:cantSplit/>
        </w:trPr>
        <w:tc>
          <w:tcPr>
            <w:tcW w:type="dxa" w:w="2592"/>
            <w:shd w:fill="F7F8F6"/>
          </w:tcPr>
          <w:p>
            <w:r>
              <w:t>Storage</w:t>
            </w:r>
          </w:p>
        </w:tc>
        <w:tc>
          <w:tcPr>
            <w:tcW w:type="dxa" w:w="7200"/>
            <w:shd w:fill="F7F8F6"/>
          </w:tcPr>
          <w:p>
            <w:r>
              <w:t>PostgreSQL with pgvector</w:t>
            </w:r>
          </w:p>
        </w:tc>
      </w:tr>
      <w:tr>
        <w:trPr>
          <w:cantSplit/>
        </w:trPr>
        <w:tc>
          <w:tcPr>
            <w:tcW w:type="dxa" w:w="2592"/>
          </w:tcPr>
          <w:p>
            <w:r>
              <w:t>Vector index</w:t>
            </w:r>
          </w:p>
        </w:tc>
        <w:tc>
          <w:tcPr>
            <w:tcW w:type="dxa" w:w="7200"/>
          </w:tcPr>
          <w:p>
            <w:r>
              <w:t>HNSW cosine index</w:t>
            </w:r>
          </w:p>
        </w:tc>
      </w:tr>
      <w:tr>
        <w:trPr>
          <w:cantSplit/>
        </w:trPr>
        <w:tc>
          <w:tcPr>
            <w:tcW w:type="dxa" w:w="2592"/>
            <w:shd w:fill="F7F8F6"/>
          </w:tcPr>
          <w:p>
            <w:r>
              <w:t>Lexical index</w:t>
            </w:r>
          </w:p>
        </w:tc>
        <w:tc>
          <w:tcPr>
            <w:tcW w:type="dxa" w:w="7200"/>
            <w:shd w:fill="F7F8F6"/>
          </w:tcPr>
          <w:p>
            <w:r>
              <w:t>PostgreSQL GIN full-text index over persisted search_vector</w:t>
            </w:r>
          </w:p>
        </w:tc>
      </w:tr>
      <w:tr>
        <w:trPr>
          <w:cantSplit/>
        </w:trPr>
        <w:tc>
          <w:tcPr>
            <w:tcW w:type="dxa" w:w="2592"/>
          </w:tcPr>
          <w:p>
            <w:r>
              <w:t>Retrieval</w:t>
            </w:r>
          </w:p>
        </w:tc>
        <w:tc>
          <w:tcPr>
            <w:tcW w:type="dxa" w:w="7200"/>
          </w:tcPr>
          <w:p>
            <w:r>
              <w:t>Vector top 20 + FTS top 20 + chunk-level RRF</w:t>
            </w:r>
          </w:p>
        </w:tc>
      </w:tr>
      <w:tr>
        <w:trPr>
          <w:cantSplit/>
        </w:trPr>
        <w:tc>
          <w:tcPr>
            <w:tcW w:type="dxa" w:w="2592"/>
            <w:shd w:fill="F7F8F6"/>
          </w:tcPr>
          <w:p>
            <w:r>
              <w:t>Evidence passed to answer model</w:t>
            </w:r>
          </w:p>
        </w:tc>
        <w:tc>
          <w:tcPr>
            <w:tcW w:type="dxa" w:w="7200"/>
            <w:shd w:fill="F7F8F6"/>
          </w:tcPr>
          <w:p>
            <w:r>
              <w:t>Top 5 retrieved chunks</w:t>
            </w:r>
          </w:p>
        </w:tc>
      </w:tr>
      <w:tr>
        <w:trPr>
          <w:cantSplit/>
        </w:trPr>
        <w:tc>
          <w:tcPr>
            <w:tcW w:type="dxa" w:w="2592"/>
          </w:tcPr>
          <w:p>
            <w:r>
              <w:t>Answer layer</w:t>
            </w:r>
          </w:p>
        </w:tc>
        <w:tc>
          <w:tcPr>
            <w:tcW w:type="dxa" w:w="7200"/>
          </w:tcPr>
          <w:p>
            <w:r>
              <w:t>Structured JSON response with evidence status and decision boundary</w:t>
            </w:r>
          </w:p>
        </w:tc>
      </w:tr>
      <w:tr>
        <w:trPr>
          <w:cantSplit/>
        </w:trPr>
        <w:tc>
          <w:tcPr>
            <w:tcW w:type="dxa" w:w="2592"/>
            <w:shd w:fill="F7F8F6"/>
          </w:tcPr>
          <w:p>
            <w:r>
              <w:t>Runtime evidence source</w:t>
            </w:r>
          </w:p>
        </w:tc>
        <w:tc>
          <w:tcPr>
            <w:tcW w:type="dxa" w:w="7200"/>
            <w:shd w:fill="F7F8F6"/>
          </w:tcPr>
          <w:p>
            <w:r>
              <w:t>Indexed INZ Operational Manual only</w:t>
            </w:r>
          </w:p>
        </w:tc>
      </w:tr>
    </w:tbl>
    <w:p>
      <w:pPr>
        <w:spacing w:after="40"/>
      </w:pPr>
    </w:p>
    <w:p>
      <w:pPr>
        <w:pStyle w:val="Heading1"/>
      </w:pPr>
      <w:r>
        <w:t>4. End-to-end question processing flow</w:t>
      </w:r>
    </w:p>
    <w:p>
      <w:pPr>
        <w:pStyle w:val="CodeBlock"/>
        <w:spacing w:before="100" w:after="140"/>
        <w:ind w:left="259" w:right="259"/>
        <w:keepLines/>
        <w:shd w:fill="EFF1EC"/>
      </w:pPr>
      <w:r>
        <w:t>1  User enters a natural-language question</w:t>
        <w:br/>
        <w:t xml:space="preserve">        |</w:t>
        <w:br/>
        <w:t>2  /ask validates request</w:t>
        <w:br/>
        <w:t xml:space="preserve">        |</w:t>
        <w:br/>
        <w:t>3  Question is embedded</w:t>
        <w:br/>
        <w:t xml:space="preserve">        |</w:t>
        <w:br/>
        <w:t>4  Vector search + full-text search</w:t>
        <w:br/>
        <w:t xml:space="preserve">        |</w:t>
        <w:br/>
        <w:t>5  Reciprocal Rank Fusion</w:t>
        <w:br/>
        <w:t xml:space="preserve">        |</w:t>
        <w:br/>
        <w:t>6  Top 5 chunks selected</w:t>
        <w:br/>
        <w:t xml:space="preserve">        |</w:t>
        <w:br/>
        <w:t>7  Answer model evaluates evidence adequacy + answer boundary</w:t>
        <w:br/>
        <w:t xml:space="preserve">        |</w:t>
        <w:br/>
        <w:t>8  Structured ModelAnswer returned</w:t>
        <w:br/>
        <w:t xml:space="preserve">        |</w:t>
        <w:br/>
        <w:t>9  API filters citations / derives outcome / cleans fields</w:t>
        <w:br/>
        <w:t xml:space="preserve">        |</w:t>
        <w:br/>
        <w:t>10 AskResponse returned to frontend</w:t>
        <w:br/>
        <w:t xml:space="preserve">        |</w:t>
        <w:br/>
        <w:t>11 UI renders sufficient / corpus gap / external-source state</w:t>
      </w:r>
    </w:p>
    <w:p>
      <w:pPr>
        <w:pStyle w:val="ListNumber"/>
        <w:spacing w:after="60"/>
      </w:pPr>
      <w:r>
        <w:t>Question entry: the user submits a natural-language immigration question in the Ask interface.</w:t>
      </w:r>
    </w:p>
    <w:p>
      <w:pPr>
        <w:pStyle w:val="ListNumber"/>
        <w:spacing w:after="60"/>
      </w:pPr>
      <w:r>
        <w:t>API validation: /ask receives AskRequest; the current question field is constrained to 3-500 characters.</w:t>
      </w:r>
    </w:p>
    <w:p>
      <w:pPr>
        <w:pStyle w:val="ListNumber"/>
        <w:spacing w:after="60"/>
      </w:pPr>
      <w:r>
        <w:t>Semantic representation: the question is embedded using the configured OpenAI embedding model.</w:t>
      </w:r>
    </w:p>
    <w:p>
      <w:pPr>
        <w:pStyle w:val="ListNumber"/>
        <w:spacing w:after="60"/>
      </w:pPr>
      <w:r>
        <w:t>Hybrid retrieval: vector similarity and PostgreSQL full-text search independently retrieve candidate chunks.</w:t>
      </w:r>
    </w:p>
    <w:p>
      <w:pPr>
        <w:pStyle w:val="ListNumber"/>
        <w:spacing w:after="60"/>
      </w:pPr>
      <w:r>
        <w:t>Rank fusion: the two rankings are merged using chunk-level Reciprocal Rank Fusion. The current implementation uses RRF_K = 60 and 20 candidates per leg.</w:t>
      </w:r>
    </w:p>
    <w:p>
      <w:pPr>
        <w:pStyle w:val="ListNumber"/>
        <w:spacing w:after="60"/>
      </w:pPr>
      <w:r>
        <w:t>Evidence selection: the top 5 chunks are supplied to the answer layer. Retrieval itself does not declare the final evidence status.</w:t>
      </w:r>
    </w:p>
    <w:p>
      <w:pPr>
        <w:pStyle w:val="ListNumber"/>
        <w:spacing w:after="60"/>
      </w:pPr>
      <w:r>
        <w:t>Evidence adequacy: the answer model evaluates whether the exact proposition is supported and, if not, where the missing authoritative information belongs.</w:t>
      </w:r>
    </w:p>
    <w:p>
      <w:pPr>
        <w:pStyle w:val="ListNumber"/>
        <w:spacing w:after="60"/>
      </w:pPr>
      <w:r>
        <w:t>Structured response: the model returns evidence_status, decision_boundary, answer, cited_sections, and missing_information.</w:t>
      </w:r>
    </w:p>
    <w:p>
      <w:pPr>
        <w:pStyle w:val="ListNumber"/>
        <w:spacing w:after="60"/>
      </w:pPr>
      <w:r>
        <w:t>API post-processing: the API derives the legacy outcome, filters citations to retrieved sections, de-duplicates citations, and cleans missing_information.</w:t>
      </w:r>
    </w:p>
    <w:p>
      <w:pPr>
        <w:pStyle w:val="ListNumber"/>
        <w:spacing w:after="60"/>
      </w:pPr>
      <w:r>
        <w:t>UI rendering: the frontend maps the structured response to an evidence-aware state rather than a generic chatbot bubble.</w:t>
      </w:r>
    </w:p>
    <w:p>
      <w:pPr>
        <w:pStyle w:val="Heading1"/>
      </w:pPr>
      <w:r>
        <w:t>5. Evidence decision process</w:t>
      </w:r>
    </w:p>
    <w:p>
      <w:pPr>
        <w:pStyle w:val="CodeBlock"/>
        <w:spacing w:before="100" w:after="140"/>
        <w:ind w:left="259" w:right="259"/>
        <w:keepLines/>
        <w:shd w:fill="EFF1EC"/>
      </w:pPr>
      <w:r>
        <w:t>Question + top 5 Manual passages</w:t>
        <w:br/>
        <w:t xml:space="preserve">        |</w:t>
        <w:br/>
        <w:t xml:space="preserve">        v</w:t>
        <w:br/>
        <w:t>Do the passages support the material proposition?</w:t>
        <w:br/>
        <w:t xml:space="preserve">    | YES                              | NO</w:t>
        <w:br/>
        <w:t xml:space="preserve">    v                                  v</w:t>
        <w:br/>
        <w:t>sufficient                 Where should missing authority live?</w:t>
        <w:br/>
        <w:t xml:space="preserve">    |                                  |</w:t>
        <w:br/>
        <w:t xml:space="preserve">    v                       +----------+-----------+</w:t>
        <w:br/>
        <w:t>Decision boundary           |                      |</w:t>
        <w:br/>
        <w:t xml:space="preserve">    |                    Manual                  Outside Manual</w:t>
        <w:br/>
        <w:t xml:space="preserve">    |                       |                      |</w:t>
        <w:br/>
        <w:t xml:space="preserve">    v                       v                      v</w:t>
        <w:br/>
        <w:t>general / case-specific   corpus_gap      external_source_required</w:t>
        <w:br/>
        <w:t>/ discretionary</w:t>
      </w:r>
    </w:p>
    <w:p>
      <w:pPr>
        <w:pStyle w:val="Heading2"/>
      </w:pPr>
      <w:r>
        <w:t>5.1 sufficient</w:t>
      </w:r>
    </w:p>
    <w:p>
      <w:r>
        <w:t>Use when the retrieved Manual text establishes the proposition needed to answer the question within the correct scope. Prefer the operative rule over an overview, adjacent rule, definition, or merely related topic. A broader rule supports a narrower case only when its scope clearly includes that case.</w:t>
      </w:r>
    </w:p>
    <w:tbl>
      <w:tblPr>
        <w:tblW w:type="auto" w:w="0"/>
        <w:jc w:val="center"/>
        <w:tblLayout w:type="fixed"/>
        <w:tblLook w:firstColumn="1" w:firstRow="1" w:lastColumn="0" w:lastRow="0" w:noHBand="0" w:noVBand="1" w:val="04A0"/>
      </w:tblPr>
      <w:tblGrid>
        <w:gridCol w:w="173"/>
        <w:gridCol w:w="9648"/>
      </w:tblGrid>
      <w:tr>
        <w:trPr>
          <w:cantSplit/>
        </w:trPr>
        <w:tc>
          <w:tcPr>
            <w:tcW w:type="dxa" w:w="5040"/>
            <w:shd w:fill="2D8F72"/>
            <w:tcBorders>
              <w:top w:val="nil"/>
              <w:left w:val="nil"/>
              <w:bottom w:val="nil"/>
              <w:right w:val="nil"/>
            </w:tcBorders>
          </w:tcPr>
          <w:p/>
        </w:tc>
        <w:tc>
          <w:tcPr>
            <w:tcW w:type="dxa" w:w="5040"/>
            <w:shd w:fill="E9F5F3"/>
            <w:tcBorders>
              <w:top w:val="nil"/>
              <w:left w:val="nil"/>
              <w:bottom w:val="nil"/>
              <w:right w:val="nil"/>
            </w:tcBorders>
          </w:tcPr>
          <w:p>
            <w:r>
              <w:rPr>
                <w:b/>
                <w:color w:val="16293D"/>
              </w:rPr>
              <w:t>UI label</w:t>
            </w:r>
          </w:p>
          <w:p>
            <w:pPr>
              <w:spacing w:after="40"/>
            </w:pPr>
            <w:r>
              <w:t>Answered from the Operational Manual</w:t>
            </w:r>
          </w:p>
        </w:tc>
      </w:tr>
    </w:tbl>
    <w:p>
      <w:pPr>
        <w:spacing w:after="20"/>
      </w:pPr>
    </w:p>
    <w:p>
      <w:pPr>
        <w:pStyle w:val="Heading2"/>
      </w:pPr>
      <w:r>
        <w:t>5.2 corpus_gap</w:t>
      </w:r>
    </w:p>
    <w:p>
      <w:r>
        <w:t>Use when the answer belongs in the Operational Manual but the indexed corpus does not contain enough of the required rule. Examples include an unindexed appendix, missing category-specific instruction, missing detailed evidence rule, or missing applicant-side instructions.</w:t>
      </w:r>
    </w:p>
    <w:tbl>
      <w:tblPr>
        <w:tblW w:type="auto" w:w="0"/>
        <w:jc w:val="center"/>
        <w:tblLayout w:type="fixed"/>
        <w:tblLook w:firstColumn="1" w:firstRow="1" w:lastColumn="0" w:lastRow="0" w:noHBand="0" w:noVBand="1" w:val="04A0"/>
      </w:tblPr>
      <w:tblGrid>
        <w:gridCol w:w="173"/>
        <w:gridCol w:w="9648"/>
      </w:tblGrid>
      <w:tr>
        <w:trPr>
          <w:cantSplit/>
        </w:trPr>
        <w:tc>
          <w:tcPr>
            <w:tcW w:type="dxa" w:w="5040"/>
            <w:shd w:fill="E88032"/>
            <w:tcBorders>
              <w:top w:val="nil"/>
              <w:left w:val="nil"/>
              <w:bottom w:val="nil"/>
              <w:right w:val="nil"/>
            </w:tcBorders>
          </w:tcPr>
          <w:p/>
        </w:tc>
        <w:tc>
          <w:tcPr>
            <w:tcW w:type="dxa" w:w="5040"/>
            <w:shd w:fill="FFF0E6"/>
            <w:tcBorders>
              <w:top w:val="nil"/>
              <w:left w:val="nil"/>
              <w:bottom w:val="nil"/>
              <w:right w:val="nil"/>
            </w:tcBorders>
          </w:tcPr>
          <w:p>
            <w:r>
              <w:rPr>
                <w:b/>
                <w:color w:val="16293D"/>
              </w:rPr>
              <w:t>UI label</w:t>
            </w:r>
          </w:p>
          <w:p>
            <w:pPr>
              <w:spacing w:after="40"/>
            </w:pPr>
            <w:r>
              <w:t>Required Operational Manual evidence is not currently indexed</w:t>
            </w:r>
          </w:p>
        </w:tc>
      </w:tr>
    </w:tbl>
    <w:p>
      <w:pPr>
        <w:spacing w:after="20"/>
      </w:pPr>
    </w:p>
    <w:p>
      <w:r>
        <w:t>A corpus gap is an actionable engineering signal: if the missing Manual material can be collected, the corpus can be updated, re-embedded, and re-evaluated.</w:t>
      </w:r>
    </w:p>
    <w:p>
      <w:pPr>
        <w:pStyle w:val="Heading2"/>
      </w:pPr>
      <w:r>
        <w:t>5.3 external_source_required</w:t>
      </w:r>
    </w:p>
    <w:p>
      <w:r>
        <w:t>Use when the authoritative information is not supposed to live in the Operational Manual. Typical classes include current processing times, current fee amounts, country-specific police-certificate obtaining procedures, external agency assessment products, clinic/service procedures, professional assessor guidance, and another organisation's own eligibility definition.</w:t>
      </w:r>
    </w:p>
    <w:tbl>
      <w:tblPr>
        <w:tblW w:type="auto" w:w="0"/>
        <w:jc w:val="center"/>
        <w:tblLayout w:type="fixed"/>
        <w:tblLook w:firstColumn="1" w:firstRow="1" w:lastColumn="0" w:lastRow="0" w:noHBand="0" w:noVBand="1" w:val="04A0"/>
      </w:tblPr>
      <w:tblGrid>
        <w:gridCol w:w="173"/>
        <w:gridCol w:w="9648"/>
      </w:tblGrid>
      <w:tr>
        <w:trPr>
          <w:cantSplit/>
        </w:trPr>
        <w:tc>
          <w:tcPr>
            <w:tcW w:type="dxa" w:w="5040"/>
            <w:shd w:fill="3C82B6"/>
            <w:tcBorders>
              <w:top w:val="nil"/>
              <w:left w:val="nil"/>
              <w:bottom w:val="nil"/>
              <w:right w:val="nil"/>
            </w:tcBorders>
          </w:tcPr>
          <w:p/>
        </w:tc>
        <w:tc>
          <w:tcPr>
            <w:tcW w:type="dxa" w:w="5040"/>
            <w:shd w:fill="EAF2F8"/>
            <w:tcBorders>
              <w:top w:val="nil"/>
              <w:left w:val="nil"/>
              <w:bottom w:val="nil"/>
              <w:right w:val="nil"/>
            </w:tcBorders>
          </w:tcPr>
          <w:p>
            <w:r>
              <w:rPr>
                <w:b/>
                <w:color w:val="16293D"/>
              </w:rPr>
              <w:t>UI label</w:t>
            </w:r>
          </w:p>
          <w:p>
            <w:pPr>
              <w:spacing w:after="40"/>
            </w:pPr>
            <w:r>
              <w:t>This information is maintained outside the Operational Manual</w:t>
            </w:r>
          </w:p>
        </w:tc>
      </w:tr>
    </w:tbl>
    <w:p>
      <w:pPr>
        <w:spacing w:after="20"/>
      </w:pPr>
    </w:p>
    <w:p>
      <w:r>
        <w:t>Waypoint v1 identifies this boundary but does not silently switch to general internet search.</w:t>
      </w:r>
    </w:p>
    <w:p>
      <w:pPr>
        <w:pStyle w:val="Heading1"/>
      </w:pPr>
      <w:r>
        <w:t>6. Decision boundary process</w:t>
      </w:r>
    </w:p>
    <w:p>
      <w:r>
        <w:t>Evidence status answers whether the evidence is sufficient. decision_boundary answers how far Waypoint may safely apply that evidence.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592"/>
            <w:shd w:fill="16293D"/>
            <w:vAlign w:val="center"/>
          </w:tcPr>
          <w:p>
            <w:r>
              <w:rPr>
                <w:b/>
                <w:color w:val="FFFFFF"/>
              </w:rPr>
              <w:t>Decision boundary</w:t>
            </w:r>
          </w:p>
        </w:tc>
        <w:tc>
          <w:tcPr>
            <w:tcW w:type="dxa" w:w="3888"/>
            <w:shd w:fill="16293D"/>
            <w:vAlign w:val="center"/>
          </w:tcPr>
          <w:p>
            <w:r>
              <w:rPr>
                <w:b/>
                <w:color w:val="FFFFFF"/>
              </w:rPr>
              <w:t>Meaning</w:t>
            </w:r>
          </w:p>
        </w:tc>
        <w:tc>
          <w:tcPr>
            <w:tcW w:type="dxa" w:w="3456"/>
            <w:shd w:fill="16293D"/>
            <w:vAlign w:val="center"/>
          </w:tcPr>
          <w:p>
            <w:r>
              <w:rPr>
                <w:b/>
                <w:color w:val="FFFFFF"/>
              </w:rPr>
              <w:t>UI behaviour</w:t>
            </w:r>
          </w:p>
        </w:tc>
      </w:tr>
      <w:tr>
        <w:trPr>
          <w:cantSplit/>
        </w:trPr>
        <w:tc>
          <w:tcPr>
            <w:tcW w:type="dxa" w:w="2592"/>
          </w:tcPr>
          <w:p>
            <w:r>
              <w:t>general_information</w:t>
            </w:r>
          </w:p>
        </w:tc>
        <w:tc>
          <w:tcPr>
            <w:tcW w:type="dxa" w:w="3888"/>
          </w:tcPr>
          <w:p>
            <w:r>
              <w:t>The rule can be explained without deciding the user's personal outcome.</w:t>
            </w:r>
          </w:p>
        </w:tc>
        <w:tc>
          <w:tcPr>
            <w:tcW w:type="dxa" w:w="3456"/>
          </w:tcPr>
          <w:p>
            <w:r>
              <w:t>Give the evidence-based explanation.</w:t>
            </w:r>
          </w:p>
        </w:tc>
      </w:tr>
      <w:tr>
        <w:trPr>
          <w:cantSplit/>
        </w:trPr>
        <w:tc>
          <w:tcPr>
            <w:tcW w:type="dxa" w:w="2592"/>
            <w:shd w:fill="F7F8F6"/>
          </w:tcPr>
          <w:p>
            <w:r>
              <w:t>case_specific_application</w:t>
            </w:r>
          </w:p>
        </w:tc>
        <w:tc>
          <w:tcPr>
            <w:tcW w:type="dxa" w:w="3888"/>
            <w:shd w:fill="F7F8F6"/>
          </w:tcPr>
          <w:p>
            <w:r>
              <w:t>The rule exists, but applying it requires user-specific facts.</w:t>
            </w:r>
          </w:p>
        </w:tc>
        <w:tc>
          <w:tcPr>
            <w:tcW w:type="dxa" w:w="3456"/>
            <w:shd w:fill="F7F8F6"/>
          </w:tcPr>
          <w:p>
            <w:r>
              <w:t>Explain the rule and list only the missing user facts needed.</w:t>
            </w:r>
          </w:p>
        </w:tc>
      </w:tr>
      <w:tr>
        <w:trPr>
          <w:cantSplit/>
        </w:trPr>
        <w:tc>
          <w:tcPr>
            <w:tcW w:type="dxa" w:w="2592"/>
          </w:tcPr>
          <w:p>
            <w:r>
              <w:t>discretionary_judgement</w:t>
            </w:r>
          </w:p>
        </w:tc>
        <w:tc>
          <w:tcPr>
            <w:tcW w:type="dxa" w:w="3888"/>
          </w:tcPr>
          <w:p>
            <w:r>
              <w:t>The Manual provides factors or a judgement framework rather than a deterministic result.</w:t>
            </w:r>
          </w:p>
        </w:tc>
        <w:tc>
          <w:tcPr>
            <w:tcW w:type="dxa" w:w="3456"/>
          </w:tcPr>
          <w:p>
            <w:r>
              <w:t>Explain the factors; do not predict an officer's decision.</w:t>
            </w:r>
          </w:p>
        </w:tc>
      </w:tr>
    </w:tbl>
    <w:p>
      <w:pPr>
        <w:spacing w:after="40"/>
      </w:pPr>
    </w:p>
    <w:tbl>
      <w:tblPr>
        <w:tblW w:type="auto" w:w="0"/>
        <w:jc w:val="center"/>
        <w:tblLayout w:type="fixed"/>
        <w:tblLook w:firstColumn="1" w:firstRow="1" w:lastColumn="0" w:lastRow="0" w:noHBand="0" w:noVBand="1" w:val="04A0"/>
      </w:tblPr>
      <w:tblGrid>
        <w:gridCol w:w="173"/>
        <w:gridCol w:w="9648"/>
      </w:tblGrid>
      <w:tr>
        <w:trPr>
          <w:cantSplit/>
        </w:trPr>
        <w:tc>
          <w:tcPr>
            <w:tcW w:type="dxa" w:w="5040"/>
            <w:shd w:fill="C99A46"/>
            <w:tcBorders>
              <w:top w:val="nil"/>
              <w:left w:val="nil"/>
              <w:bottom w:val="nil"/>
              <w:right w:val="nil"/>
            </w:tcBorders>
          </w:tcPr>
          <w:p/>
        </w:tc>
        <w:tc>
          <w:tcPr>
            <w:tcW w:type="dxa" w:w="5040"/>
            <w:shd w:fill="F8F0E2"/>
            <w:tcBorders>
              <w:top w:val="nil"/>
              <w:left w:val="nil"/>
              <w:bottom w:val="nil"/>
              <w:right w:val="nil"/>
            </w:tcBorders>
          </w:tcPr>
          <w:p>
            <w:r>
              <w:rPr>
                <w:b/>
                <w:color w:val="16293D"/>
              </w:rPr>
              <w:t>missing_information contract</w:t>
            </w:r>
          </w:p>
          <w:p>
            <w:pPr>
              <w:spacing w:after="40"/>
            </w:pPr>
            <w:r>
              <w:t>missing_information should contain missing USER FACTS only. Missing policy sections, appendices, websites, external guidance, or source material are source/evidence gaps and should not be placed in missing_information.</w:t>
            </w:r>
          </w:p>
        </w:tc>
      </w:tr>
    </w:tbl>
    <w:p>
      <w:pPr>
        <w:spacing w:after="20"/>
      </w:pPr>
    </w:p>
    <w:p>
      <w:pPr>
        <w:pStyle w:val="Heading1"/>
      </w:pPr>
      <w:r>
        <w:t>7. API-to-UI contract</w:t>
      </w:r>
    </w:p>
    <w:p>
      <w:pPr>
        <w:pStyle w:val="CodeBlock"/>
        <w:spacing w:before="100" w:after="140"/>
        <w:ind w:left="259" w:right="259"/>
        <w:keepLines/>
        <w:shd w:fill="EFF1EC"/>
      </w:pPr>
      <w:r>
        <w:t>AskResponse</w:t>
        <w:br/>
        <w:t>├── question</w:t>
        <w:br/>
        <w:t>├── interpreted_as</w:t>
        <w:br/>
        <w:t>├── outcome</w:t>
        <w:br/>
        <w:t>├── evidence_status</w:t>
        <w:br/>
        <w:t>├── decision_boundary</w:t>
        <w:br/>
        <w:t>├── answer</w:t>
        <w:br/>
        <w:t>├── citations[]</w:t>
        <w:br/>
        <w:t>│   ├── section_code</w:t>
        <w:br/>
        <w:t>│   ├── title</w:t>
        <w:br/>
        <w:t>│   ├── source_url</w:t>
        <w:br/>
        <w:t>│   └── effective_date</w:t>
        <w:br/>
        <w:t>├── missing_information[]</w:t>
        <w:br/>
        <w:t>└── disclaimer</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168"/>
            <w:shd w:fill="16293D"/>
            <w:vAlign w:val="center"/>
          </w:tcPr>
          <w:p>
            <w:r>
              <w:rPr>
                <w:b/>
                <w:color w:val="FFFFFF"/>
              </w:rPr>
              <w:t>Backend state</w:t>
            </w:r>
          </w:p>
        </w:tc>
        <w:tc>
          <w:tcPr>
            <w:tcW w:type="dxa" w:w="3240"/>
            <w:shd w:fill="16293D"/>
            <w:vAlign w:val="center"/>
          </w:tcPr>
          <w:p>
            <w:r>
              <w:rPr>
                <w:b/>
                <w:color w:val="FFFFFF"/>
              </w:rPr>
              <w:t>Primary UI treatment</w:t>
            </w:r>
          </w:p>
        </w:tc>
        <w:tc>
          <w:tcPr>
            <w:tcW w:type="dxa" w:w="3528"/>
            <w:shd w:fill="16293D"/>
            <w:vAlign w:val="center"/>
          </w:tcPr>
          <w:p>
            <w:r>
              <w:rPr>
                <w:b/>
                <w:color w:val="FFFFFF"/>
              </w:rPr>
              <w:t>Secondary content</w:t>
            </w:r>
          </w:p>
        </w:tc>
      </w:tr>
      <w:tr>
        <w:trPr>
          <w:cantSplit/>
        </w:trPr>
        <w:tc>
          <w:tcPr>
            <w:tcW w:type="dxa" w:w="3168"/>
          </w:tcPr>
          <w:p>
            <w:r>
              <w:t>sufficient + general_information</w:t>
            </w:r>
          </w:p>
        </w:tc>
        <w:tc>
          <w:tcPr>
            <w:tcW w:type="dxa" w:w="3240"/>
          </w:tcPr>
          <w:p>
            <w:r>
              <w:t>Green/teal evidence card</w:t>
            </w:r>
          </w:p>
        </w:tc>
        <w:tc>
          <w:tcPr>
            <w:tcW w:type="dxa" w:w="3528"/>
          </w:tcPr>
          <w:p>
            <w:r>
              <w:t>Answer, citations, effective dates, source links</w:t>
            </w:r>
          </w:p>
        </w:tc>
      </w:tr>
      <w:tr>
        <w:trPr>
          <w:cantSplit/>
        </w:trPr>
        <w:tc>
          <w:tcPr>
            <w:tcW w:type="dxa" w:w="3168"/>
            <w:shd w:fill="F7F8F6"/>
          </w:tcPr>
          <w:p>
            <w:r>
              <w:t>sufficient + case_specific_application</w:t>
            </w:r>
          </w:p>
        </w:tc>
        <w:tc>
          <w:tcPr>
            <w:tcW w:type="dxa" w:w="3240"/>
            <w:shd w:fill="F7F8F6"/>
          </w:tcPr>
          <w:p>
            <w:r>
              <w:t>Green/teal rule card with caution</w:t>
            </w:r>
          </w:p>
        </w:tc>
        <w:tc>
          <w:tcPr>
            <w:tcW w:type="dxa" w:w="3528"/>
            <w:shd w:fill="F7F8F6"/>
          </w:tcPr>
          <w:p>
            <w:r>
              <w:t>Rule, citations, and "To apply this to your situation" user facts</w:t>
            </w:r>
          </w:p>
        </w:tc>
      </w:tr>
      <w:tr>
        <w:trPr>
          <w:cantSplit/>
        </w:trPr>
        <w:tc>
          <w:tcPr>
            <w:tcW w:type="dxa" w:w="3168"/>
          </w:tcPr>
          <w:p>
            <w:r>
              <w:t>sufficient + discretionary_judgement</w:t>
            </w:r>
          </w:p>
        </w:tc>
        <w:tc>
          <w:tcPr>
            <w:tcW w:type="dxa" w:w="3240"/>
          </w:tcPr>
          <w:p>
            <w:r>
              <w:t>Green/teal rule card with judgement notice</w:t>
            </w:r>
          </w:p>
        </w:tc>
        <w:tc>
          <w:tcPr>
            <w:tcW w:type="dxa" w:w="3528"/>
          </w:tcPr>
          <w:p>
            <w:r>
              <w:t>Manual factors; no predicted outcome</w:t>
            </w:r>
          </w:p>
        </w:tc>
      </w:tr>
      <w:tr>
        <w:trPr>
          <w:cantSplit/>
        </w:trPr>
        <w:tc>
          <w:tcPr>
            <w:tcW w:type="dxa" w:w="3168"/>
            <w:shd w:fill="F7F8F6"/>
          </w:tcPr>
          <w:p>
            <w:r>
              <w:t>corpus_gap</w:t>
            </w:r>
          </w:p>
        </w:tc>
        <w:tc>
          <w:tcPr>
            <w:tcW w:type="dxa" w:w="3240"/>
            <w:shd w:fill="F7F8F6"/>
          </w:tcPr>
          <w:p>
            <w:r>
              <w:t>Orange gap card</w:t>
            </w:r>
          </w:p>
        </w:tc>
        <w:tc>
          <w:tcPr>
            <w:tcW w:type="dxa" w:w="3528"/>
            <w:shd w:fill="F7F8F6"/>
          </w:tcPr>
          <w:p>
            <w:r>
              <w:t>What cannot be established, related Manual sections, gap wording</w:t>
            </w:r>
          </w:p>
        </w:tc>
      </w:tr>
      <w:tr>
        <w:trPr>
          <w:cantSplit/>
        </w:trPr>
        <w:tc>
          <w:tcPr>
            <w:tcW w:type="dxa" w:w="3168"/>
          </w:tcPr>
          <w:p>
            <w:r>
              <w:t>external_source_required</w:t>
            </w:r>
          </w:p>
        </w:tc>
        <w:tc>
          <w:tcPr>
            <w:tcW w:type="dxa" w:w="3240"/>
          </w:tcPr>
          <w:p>
            <w:r>
              <w:t>Blue external-source card</w:t>
            </w:r>
          </w:p>
        </w:tc>
        <w:tc>
          <w:tcPr>
            <w:tcW w:type="dxa" w:w="3528"/>
          </w:tcPr>
          <w:p>
            <w:r>
              <w:t>What kind of authoritative source is required and why</w:t>
            </w:r>
          </w:p>
        </w:tc>
      </w:tr>
    </w:tbl>
    <w:p>
      <w:pPr>
        <w:spacing w:after="40"/>
      </w:pPr>
    </w:p>
    <w:p>
      <w:pPr>
        <w:pStyle w:val="Heading2"/>
      </w:pPr>
      <w:r>
        <w:t>7.1 Citation interaction</w:t>
      </w:r>
    </w:p>
    <w:p>
      <w:pPr>
        <w:pStyle w:val="ListBullet"/>
        <w:spacing w:after="40"/>
      </w:pPr>
      <w:r>
        <w:t>Show official section code and title.</w:t>
      </w:r>
    </w:p>
    <w:p>
      <w:pPr>
        <w:pStyle w:val="ListBullet"/>
        <w:spacing w:after="40"/>
      </w:pPr>
      <w:r>
        <w:t>Show effective date when available.</w:t>
      </w:r>
    </w:p>
    <w:p>
      <w:pPr>
        <w:pStyle w:val="ListBullet"/>
        <w:spacing w:after="40"/>
      </w:pPr>
      <w:r>
        <w:t>Provide the official source URL.</w:t>
      </w:r>
    </w:p>
    <w:p>
      <w:pPr>
        <w:pStyle w:val="ListBullet"/>
        <w:spacing w:after="40"/>
      </w:pPr>
      <w:r>
        <w:t>Do not imply that a related citation proves an answer when evidence_status is corpus_gap.</w:t>
      </w:r>
    </w:p>
    <w:p>
      <w:pPr>
        <w:pStyle w:val="ListBullet"/>
        <w:spacing w:after="40"/>
      </w:pPr>
      <w:r>
        <w:t>The current /ask citation object does not include full clause text. Use a dedicated section/chunk fetch or Browse interaction for expandable full text later.</w:t>
      </w:r>
    </w:p>
    <w:p>
      <w:pPr>
        <w:pStyle w:val="Heading1"/>
      </w:pPr>
      <w:r>
        <w:t>8. UI architecture aligned to the backend</w:t>
      </w:r>
    </w:p>
    <w:p>
      <w:pPr>
        <w:pStyle w:val="CodeBlock"/>
        <w:spacing w:before="100" w:after="140"/>
        <w:ind w:left="259" w:right="259"/>
        <w:keepLines/>
        <w:shd w:fill="EFF1EC"/>
      </w:pPr>
      <w:r>
        <w:t>Waypoint</w:t>
        <w:br/>
        <w:t xml:space="preserve">  |</w:t>
        <w:br/>
        <w:t xml:space="preserve">  +-- Ask</w:t>
        <w:br/>
        <w:t xml:space="preserve">  |     |</w:t>
        <w:br/>
        <w:t xml:space="preserve">  |     +-- sufficient -----------------&gt; Answered from the Manual</w:t>
        <w:br/>
        <w:t xml:space="preserve">  |     |                                   + citations</w:t>
        <w:br/>
        <w:t xml:space="preserve">  |     |                                   + effective dates</w:t>
        <w:br/>
        <w:t xml:space="preserve">  |     |                                   + decision boundary</w:t>
        <w:br/>
        <w:t xml:space="preserve">  |     |</w:t>
        <w:br/>
        <w:t xml:space="preserve">  |     +-- corpus_gap -----------------&gt; Required Manual evidence not indexed</w:t>
        <w:br/>
        <w:t xml:space="preserve">  |     |                                   + related sections</w:t>
        <w:br/>
        <w:t xml:space="preserve">  |     |</w:t>
        <w:br/>
        <w:t xml:space="preserve">  |     +-- external_source_required ---&gt; Information maintained outside Manual</w:t>
        <w:br/>
        <w:t xml:space="preserve">  |                                         + source-boundary explanation</w:t>
        <w:br/>
        <w:t xml:space="preserve">  |</w:t>
        <w:br/>
        <w:t xml:space="preserve">  +-- Browse --&gt; user-oriented categories --&gt; official sections --&gt; source details</w:t>
        <w:br/>
        <w:t xml:space="preserve">  |</w:t>
        <w:br/>
        <w:t xml:space="preserve">  +-- About --&gt; evidence model + disclaimer + product boundary</w:t>
      </w:r>
    </w:p>
    <w:p>
      <w:pPr>
        <w:pStyle w:val="Heading2"/>
      </w:pPr>
      <w:r>
        <w:t>8.1 Suggested Browse categories</w:t>
      </w:r>
    </w:p>
    <w:p>
      <w:pPr>
        <w:spacing/>
      </w:pPr>
      <w:r>
        <w:t>1. Study in New Zealand</w:t>
      </w:r>
    </w:p>
    <w:p>
      <w:pPr>
        <w:spacing/>
      </w:pPr>
      <w:r>
        <w:t>2. Work after studying</w:t>
      </w:r>
    </w:p>
    <w:p>
      <w:pPr>
        <w:spacing/>
      </w:pPr>
      <w:r>
        <w:t>3. Live here permanently</w:t>
      </w:r>
    </w:p>
    <w:p>
      <w:pPr>
        <w:spacing/>
      </w:pPr>
      <w:r>
        <w:t>4. Health and character checks</w:t>
      </w:r>
    </w:p>
    <w:p>
      <w:pPr>
        <w:spacing/>
      </w:pPr>
      <w:r>
        <w:t>5. Information for employers</w:t>
      </w:r>
    </w:p>
    <w:p>
      <w:r>
        <w:t>Official Manual section codes remain visible below this user-oriented navigation.</w:t>
      </w:r>
    </w:p>
    <w:p>
      <w:pPr>
        <w:pStyle w:val="Heading1"/>
      </w:pPr>
      <w:r>
        <w:t>9. Corpus and retrieval data flow</w:t>
      </w:r>
    </w:p>
    <w:p>
      <w:pPr>
        <w:pStyle w:val="Heading2"/>
      </w:pPr>
      <w:r>
        <w:t>9.1 Current audited corpus snapshot</w:t>
      </w:r>
    </w:p>
    <w:tbl>
      <w:tblPr>
        <w:tblStyle w:val="TableGrid"/>
        <w:tblW w:type="auto" w:w="0"/>
        <w:jc w:val="center"/>
        <w:tblLook w:firstColumn="1" w:firstRow="1" w:lastColumn="0" w:lastRow="0" w:noHBand="0" w:noVBand="1" w:val="04A0"/>
      </w:tblPr>
      <w:tblGrid>
        <w:gridCol w:w="5040"/>
        <w:gridCol w:w="5040"/>
      </w:tblGrid>
      <w:tr>
        <w:trPr>
          <w:cantSplit/>
        </w:trPr>
        <w:tc>
          <w:tcPr>
            <w:tcW w:type="dxa" w:w="5328"/>
            <w:shd w:fill="16293D"/>
            <w:vAlign w:val="center"/>
          </w:tcPr>
          <w:p>
            <w:r>
              <w:rPr>
                <w:b/>
                <w:color w:val="FFFFFF"/>
              </w:rPr>
              <w:t>Metric</w:t>
            </w:r>
          </w:p>
        </w:tc>
        <w:tc>
          <w:tcPr>
            <w:tcW w:type="dxa" w:w="2880"/>
            <w:shd w:fill="16293D"/>
            <w:vAlign w:val="center"/>
          </w:tcPr>
          <w:p>
            <w:r>
              <w:rPr>
                <w:b/>
                <w:color w:val="FFFFFF"/>
              </w:rPr>
              <w:t>Current value</w:t>
            </w:r>
          </w:p>
        </w:tc>
      </w:tr>
      <w:tr>
        <w:trPr>
          <w:cantSplit/>
        </w:trPr>
        <w:tc>
          <w:tcPr>
            <w:tcW w:type="dxa" w:w="5328"/>
          </w:tcPr>
          <w:p>
            <w:r>
              <w:t>Manifest entries</w:t>
            </w:r>
          </w:p>
        </w:tc>
        <w:tc>
          <w:tcPr>
            <w:tcW w:type="dxa" w:w="2880"/>
          </w:tcPr>
          <w:p>
            <w:r>
              <w:t>146</w:t>
            </w:r>
          </w:p>
        </w:tc>
      </w:tr>
      <w:tr>
        <w:trPr>
          <w:cantSplit/>
        </w:trPr>
        <w:tc>
          <w:tcPr>
            <w:tcW w:type="dxa" w:w="5328"/>
            <w:shd w:fill="F7F8F6"/>
          </w:tcPr>
          <w:p>
            <w:r>
              <w:t>Substantive Operational Manual sections</w:t>
            </w:r>
          </w:p>
        </w:tc>
        <w:tc>
          <w:tcPr>
            <w:tcW w:type="dxa" w:w="2880"/>
            <w:shd w:fill="F7F8F6"/>
          </w:tcPr>
          <w:p>
            <w:r>
              <w:t>125</w:t>
            </w:r>
          </w:p>
        </w:tc>
      </w:tr>
      <w:tr>
        <w:trPr>
          <w:cantSplit/>
        </w:trPr>
        <w:tc>
          <w:tcPr>
            <w:tcW w:type="dxa" w:w="5328"/>
          </w:tcPr>
          <w:p>
            <w:r>
              <w:t>Navigation/index-only sections</w:t>
            </w:r>
          </w:p>
        </w:tc>
        <w:tc>
          <w:tcPr>
            <w:tcW w:type="dxa" w:w="2880"/>
          </w:tcPr>
          <w:p>
            <w:r>
              <w:t>21</w:t>
            </w:r>
          </w:p>
        </w:tc>
      </w:tr>
      <w:tr>
        <w:trPr>
          <w:cantSplit/>
        </w:trPr>
        <w:tc>
          <w:tcPr>
            <w:tcW w:type="dxa" w:w="5328"/>
            <w:shd w:fill="F7F8F6"/>
          </w:tcPr>
          <w:p>
            <w:r>
              <w:t>Generated chunks</w:t>
            </w:r>
          </w:p>
        </w:tc>
        <w:tc>
          <w:tcPr>
            <w:tcW w:type="dxa" w:w="2880"/>
            <w:shd w:fill="F7F8F6"/>
          </w:tcPr>
          <w:p>
            <w:r>
              <w:t>202</w:t>
            </w:r>
          </w:p>
        </w:tc>
      </w:tr>
      <w:tr>
        <w:trPr>
          <w:cantSplit/>
        </w:trPr>
        <w:tc>
          <w:tcPr>
            <w:tcW w:type="dxa" w:w="5328"/>
          </w:tcPr>
          <w:p>
            <w:r>
              <w:t>Split sections</w:t>
            </w:r>
          </w:p>
        </w:tc>
        <w:tc>
          <w:tcPr>
            <w:tcW w:type="dxa" w:w="2880"/>
          </w:tcPr>
          <w:p>
            <w:r>
              <w:t>41</w:t>
            </w:r>
          </w:p>
        </w:tc>
      </w:tr>
    </w:tbl>
    <w:p>
      <w:pPr>
        <w:spacing w:after="40"/>
      </w:pPr>
    </w:p>
    <w:p>
      <w:pPr>
        <w:pStyle w:val="Heading2"/>
      </w:pPr>
      <w:r>
        <w:t>9.2 Ingestion pipeline</w:t>
      </w:r>
    </w:p>
    <w:p>
      <w:pPr>
        <w:pStyle w:val="CodeBlock"/>
        <w:spacing w:before="100" w:after="140"/>
        <w:ind w:left="259" w:right="259"/>
        <w:keepLines/>
        <w:shd w:fill="EFF1EC"/>
      </w:pPr>
      <w:r>
        <w:t>Public INZ Operational Manual</w:t>
        <w:br/>
        <w:t xml:space="preserve">        |</w:t>
        <w:br/>
        <w:t xml:space="preserve">        v</w:t>
        <w:br/>
        <w:t>Collector / scraper</w:t>
        <w:br/>
        <w:t xml:space="preserve">        |</w:t>
        <w:br/>
        <w:t xml:space="preserve">        +--&gt; canonical markdown sections</w:t>
        <w:br/>
        <w:t xml:space="preserve">        +--&gt; manifest.json</w:t>
        <w:br/>
        <w:t xml:space="preserve">        |</w:t>
        <w:br/>
        <w:t xml:space="preserve">        v</w:t>
        <w:br/>
        <w:t>Corpus audit</w:t>
        <w:br/>
        <w:t xml:space="preserve">        |</w:t>
        <w:br/>
        <w:t xml:space="preserve">        v</w:t>
        <w:br/>
        <w:t>Production chunker</w:t>
        <w:br/>
        <w:t>(max 3000 chars, 200-char overlap)</w:t>
        <w:br/>
        <w:t xml:space="preserve">        |</w:t>
        <w:br/>
        <w:t xml:space="preserve">        v</w:t>
        <w:br/>
        <w:t>Embedding input</w:t>
        <w:br/>
        <w:t>(section code + title + part + text)</w:t>
        <w:br/>
        <w:t xml:space="preserve">        |</w:t>
        <w:br/>
        <w:t xml:space="preserve">        v</w:t>
        <w:br/>
        <w:t>OpenAI embeddings</w:t>
        <w:br/>
        <w:t xml:space="preserve">        |</w:t>
        <w:br/>
        <w:t xml:space="preserve">        v</w:t>
        <w:br/>
        <w:t>PostgreSQL chunks</w:t>
        <w:br/>
        <w:t xml:space="preserve">        |</w:t>
        <w:br/>
        <w:t xml:space="preserve">        +--&gt; HNSW vector index</w:t>
        <w:br/>
        <w:t xml:space="preserve">        +--&gt; GIN full-text index</w:t>
      </w:r>
    </w:p>
    <w:p>
      <w:pPr>
        <w:pStyle w:val="Heading2"/>
      </w:pPr>
      <w:r>
        <w:t>9.3 Update principle</w:t>
      </w:r>
    </w:p>
    <w:p>
      <w:pPr>
        <w:pStyle w:val="CodeBlock"/>
        <w:spacing w:before="100" w:after="140"/>
        <w:ind w:left="259" w:right="259"/>
        <w:keepLines/>
        <w:shd w:fill="EFF1EC"/>
      </w:pPr>
      <w:r>
        <w:t>Detect source change</w:t>
        <w:br/>
        <w:t xml:space="preserve">      ↓</w:t>
        <w:br/>
        <w:t>Update canonical section + manifest</w:t>
        <w:br/>
        <w:t xml:space="preserve">      ↓</w:t>
        <w:br/>
        <w:t>Audit corpus integrity</w:t>
        <w:br/>
        <w:t xml:space="preserve">      ↓</w:t>
        <w:br/>
        <w:t>Re-chunk affected sections only</w:t>
        <w:br/>
        <w:t xml:space="preserve">      ↓</w:t>
        <w:br/>
        <w:t>Re-embed changed chunks only</w:t>
        <w:br/>
        <w:t xml:space="preserve">      ↓</w:t>
        <w:br/>
        <w:t>Validate retrieval / answer behaviour</w:t>
        <w:br/>
        <w:t xml:space="preserve">      ↓</w:t>
        <w:br/>
        <w:t>Commit only if quality is preserved or improved</w:t>
      </w:r>
    </w:p>
    <w:p>
      <w:pPr>
        <w:pStyle w:val="Heading1"/>
      </w:pPr>
      <w:r>
        <w:t>10. Evaluation and anti-leakage architecture</w:t>
      </w:r>
    </w:p>
    <w:p>
      <w:pPr>
        <w:pStyle w:val="CodeBlock"/>
        <w:spacing w:before="100" w:after="140"/>
        <w:ind w:left="259" w:right="259"/>
        <w:keepLines/>
        <w:shd w:fill="EFF1EC"/>
      </w:pPr>
      <w:r>
        <w:t>Retired development sets</w:t>
        <w:br/>
        <w:t xml:space="preserve">        ↓</w:t>
        <w:br/>
        <w:t>Failure diagnosis</w:t>
        <w:br/>
        <w:t xml:space="preserve">        ↓</w:t>
        <w:br/>
        <w:t>Candidate change</w:t>
        <w:br/>
        <w:t xml:space="preserve">        ↓</w:t>
        <w:br/>
        <w:t>Development regression checks</w:t>
        <w:br/>
        <w:t xml:space="preserve">        ↓</w:t>
        <w:br/>
        <w:t>Freeze candidate + acceptance criteria</w:t>
        <w:br/>
        <w:t xml:space="preserve">        ↓</w:t>
        <w:br/>
        <w:t>Fresh untouched holdout</w:t>
        <w:br/>
        <w:t xml:space="preserve">        ↓</w:t>
        <w:br/>
        <w:t>First score</w:t>
        <w:br/>
        <w:t xml:space="preserve">        ↓</w:t>
        <w:br/>
        <w:t>Accept / reject</w:t>
        <w:br/>
        <w:br/>
        <w:t>Gold labels / expected sections  -X-&gt;  runtime app</w:t>
      </w:r>
    </w:p>
    <w:p>
      <w:pPr>
        <w:pStyle w:val="Heading2"/>
      </w:pPr>
      <w:r>
        <w:t>10.1 Guardrails</w:t>
      </w:r>
    </w:p>
    <w:p>
      <w:pPr>
        <w:pStyle w:val="ListBullet"/>
        <w:spacing w:after="40"/>
      </w:pPr>
      <w:r>
        <w:t>Runtime code must not import evaluation or gold data.</w:t>
      </w:r>
    </w:p>
    <w:p>
      <w:pPr>
        <w:pStyle w:val="ListBullet"/>
        <w:spacing w:after="40"/>
      </w:pPr>
      <w:r>
        <w:t>Runtime ranking must not contain benchmark question literals or hard-coded expected section codes.</w:t>
      </w:r>
    </w:p>
    <w:p>
      <w:pPr>
        <w:pStyle w:val="ListBullet"/>
        <w:spacing w:after="40"/>
      </w:pPr>
      <w:r>
        <w:t>A holdout becomes development data once its failures are inspected and used to guide changes.</w:t>
      </w:r>
    </w:p>
    <w:p>
      <w:pPr>
        <w:pStyle w:val="ListBullet"/>
        <w:spacing w:after="40"/>
      </w:pPr>
      <w:r>
        <w:t>A future candidate requires a new untouched holdout for a genuine generalisation claim.</w:t>
      </w:r>
    </w:p>
    <w:p>
      <w:pPr>
        <w:pStyle w:val="ListBullet"/>
        <w:spacing w:after="40"/>
      </w:pPr>
      <w:r>
        <w:t>Retrieval/reranking changes are promoted only when evaluation shows they help.</w:t>
      </w:r>
    </w:p>
    <w:p>
      <w:pPr>
        <w:pStyle w:val="ListBullet"/>
        <w:spacing w:after="40"/>
      </w:pPr>
      <w:r>
        <w:t>Prompt changes are evaluated as behaviour changes, not accepted because they sound better.</w:t>
      </w:r>
    </w:p>
    <w:p>
      <w:pPr>
        <w:pStyle w:val="Heading1"/>
      </w:pPr>
      <w:r>
        <w:t>11. Failure-diagnostic model</w:t>
      </w:r>
    </w:p>
    <w:p>
      <w:r>
        <w:t>Current development diagnostics separate answer-layer failures into three mechanism families. These are analysis labels only and must not become case-specific runtime rules.</w:t>
      </w:r>
    </w:p>
    <w:tbl>
      <w:tblPr>
        <w:tblStyle w:val="TableGrid"/>
        <w:tblW w:type="auto" w:w="0"/>
        <w:jc w:val="center"/>
        <w:tblLook w:firstColumn="1" w:firstRow="1" w:lastColumn="0" w:lastRow="0" w:noHBand="0" w:noVBand="1" w:val="04A0"/>
      </w:tblPr>
      <w:tblGrid>
        <w:gridCol w:w="5040"/>
        <w:gridCol w:w="5040"/>
      </w:tblGrid>
      <w:tr>
        <w:trPr>
          <w:cantSplit/>
        </w:trPr>
        <w:tc>
          <w:tcPr>
            <w:tcW w:type="dxa" w:w="3456"/>
            <w:shd w:fill="16293D"/>
            <w:vAlign w:val="center"/>
          </w:tcPr>
          <w:p>
            <w:r>
              <w:rPr>
                <w:b/>
                <w:color w:val="FFFFFF"/>
              </w:rPr>
              <w:t>Mechanism</w:t>
            </w:r>
          </w:p>
        </w:tc>
        <w:tc>
          <w:tcPr>
            <w:tcW w:type="dxa" w:w="6480"/>
            <w:shd w:fill="16293D"/>
            <w:vAlign w:val="center"/>
          </w:tcPr>
          <w:p>
            <w:r>
              <w:rPr>
                <w:b/>
                <w:color w:val="FFFFFF"/>
              </w:rPr>
              <w:t>Meaning</w:t>
            </w:r>
          </w:p>
        </w:tc>
      </w:tr>
      <w:tr>
        <w:trPr>
          <w:cantSplit/>
        </w:trPr>
        <w:tc>
          <w:tcPr>
            <w:tcW w:type="dxa" w:w="3456"/>
          </w:tcPr>
          <w:p>
            <w:r>
              <w:t>Authoritative-home resolution failure</w:t>
            </w:r>
          </w:p>
        </w:tc>
        <w:tc>
          <w:tcPr>
            <w:tcW w:type="dxa" w:w="6480"/>
          </w:tcPr>
          <w:p>
            <w:r>
              <w:t>Waypoint chooses the wrong home for missing information: Operational Manual vs another authoritative source.</w:t>
            </w:r>
          </w:p>
        </w:tc>
      </w:tr>
      <w:tr>
        <w:trPr>
          <w:cantSplit/>
        </w:trPr>
        <w:tc>
          <w:tcPr>
            <w:tcW w:type="dxa" w:w="3456"/>
            <w:shd w:fill="F7F8F6"/>
          </w:tcPr>
          <w:p>
            <w:r>
              <w:t>Scope/entailment overreach</w:t>
            </w:r>
          </w:p>
        </w:tc>
        <w:tc>
          <w:tcPr>
            <w:tcW w:type="dxa" w:w="6480"/>
            <w:shd w:fill="F7F8F6"/>
          </w:tcPr>
          <w:p>
            <w:r>
              <w:t>Related, partial, differently scoped, or non-exhaustive text is treated as sufficient for the exact question.</w:t>
            </w:r>
          </w:p>
        </w:tc>
      </w:tr>
      <w:tr>
        <w:trPr>
          <w:cantSplit/>
        </w:trPr>
        <w:tc>
          <w:tcPr>
            <w:tcW w:type="dxa" w:w="3456"/>
          </w:tcPr>
          <w:p>
            <w:r>
              <w:t>Scope/entailment underreach</w:t>
            </w:r>
          </w:p>
        </w:tc>
        <w:tc>
          <w:tcPr>
            <w:tcW w:type="dxa" w:w="6480"/>
          </w:tcPr>
          <w:p>
            <w:r>
              <w:t>The supplied Manual rule is actually enough, but Waypoint unnecessarily declares a gap.</w:t>
            </w:r>
          </w:p>
        </w:tc>
      </w:tr>
    </w:tbl>
    <w:p>
      <w:pPr>
        <w:spacing w:after="40"/>
      </w:pPr>
    </w:p>
    <w:p>
      <w:pPr>
        <w:pStyle w:val="Heading1"/>
      </w:pPr>
      <w:r>
        <w:t>12. End-to-end examples by response state</w:t>
      </w:r>
    </w:p>
    <w:p>
      <w:pPr>
        <w:pStyle w:val="Heading2"/>
      </w:pPr>
      <w:r>
        <w:t>12.1 Sufficient</w:t>
      </w:r>
    </w:p>
    <w:p>
      <w:pPr>
        <w:pStyle w:val="CodeBlock"/>
        <w:spacing w:before="100" w:after="140"/>
        <w:ind w:left="259" w:right="259"/>
        <w:keepLines/>
        <w:shd w:fill="EFF1EC"/>
      </w:pPr>
      <w:r>
        <w:t>Question</w:t>
        <w:br/>
        <w:t xml:space="preserve">  ↓</w:t>
        <w:br/>
        <w:t>Hybrid retrieval finds operative Manual rule</w:t>
        <w:br/>
        <w:t xml:space="preserve">  ↓</w:t>
        <w:br/>
        <w:t>Answer layer confirms exact proposition is supported</w:t>
        <w:br/>
        <w:t xml:space="preserve">  ↓</w:t>
        <w:br/>
        <w:t>evidence_status = sufficient</w:t>
        <w:br/>
        <w:t xml:space="preserve">  ↓</w:t>
        <w:br/>
        <w:t>decision_boundary = general_information</w:t>
        <w:br/>
        <w:t xml:space="preserve">  ↓</w:t>
        <w:br/>
        <w:t>UI: Answered from the Operational Manual</w:t>
        <w:br/>
        <w:t xml:space="preserve">  ↓</w:t>
        <w:br/>
        <w:t>Answer + official citations + effective dates</w:t>
      </w:r>
    </w:p>
    <w:p>
      <w:pPr>
        <w:pStyle w:val="Heading2"/>
      </w:pPr>
      <w:r>
        <w:t>12.2 Corpus gap</w:t>
      </w:r>
    </w:p>
    <w:p>
      <w:pPr>
        <w:pStyle w:val="CodeBlock"/>
        <w:spacing w:before="100" w:after="140"/>
        <w:ind w:left="259" w:right="259"/>
        <w:keepLines/>
        <w:shd w:fill="EFF1EC"/>
      </w:pPr>
      <w:r>
        <w:t>Question</w:t>
        <w:br/>
        <w:t xml:space="preserve">  ↓</w:t>
        <w:br/>
        <w:t>Retrieved Manual text references a category-specific rule</w:t>
        <w:br/>
        <w:t xml:space="preserve">  ↓</w:t>
        <w:br/>
        <w:t>That rule / appendix is not indexed</w:t>
        <w:br/>
        <w:t xml:space="preserve">  ↓</w:t>
        <w:br/>
        <w:t>Authoritative home = Operational Manual</w:t>
        <w:br/>
        <w:t xml:space="preserve">  ↓</w:t>
        <w:br/>
        <w:t>evidence_status = corpus_gap</w:t>
        <w:br/>
        <w:t xml:space="preserve">  ↓</w:t>
        <w:br/>
        <w:t>UI: Required Operational Manual evidence is not currently indexed</w:t>
        <w:br/>
        <w:t xml:space="preserve">  ↓</w:t>
        <w:br/>
        <w:t>Show related sections; do not infer the missing rule</w:t>
      </w:r>
    </w:p>
    <w:p>
      <w:pPr>
        <w:pStyle w:val="Heading2"/>
      </w:pPr>
      <w:r>
        <w:t>12.3 External source required</w:t>
      </w:r>
    </w:p>
    <w:p>
      <w:pPr>
        <w:pStyle w:val="CodeBlock"/>
        <w:spacing w:before="100" w:after="140"/>
        <w:ind w:left="259" w:right="259"/>
        <w:keepLines/>
        <w:shd w:fill="EFF1EC"/>
      </w:pPr>
      <w:r>
        <w:t>Question asks for live service / fee / external procedure information</w:t>
        <w:br/>
        <w:t xml:space="preserve">  ↓</w:t>
        <w:br/>
        <w:t>Manual contains only general or related rules</w:t>
        <w:br/>
        <w:t xml:space="preserve">  ↓</w:t>
        <w:br/>
        <w:t>Authoritative home = outside Operational Manual</w:t>
        <w:br/>
        <w:t xml:space="preserve">  ↓</w:t>
        <w:br/>
        <w:t>evidence_status = external_source_required</w:t>
        <w:br/>
        <w:t xml:space="preserve">  ↓</w:t>
        <w:br/>
        <w:t>UI: This information is maintained outside the Operational Manual</w:t>
        <w:br/>
        <w:t xml:space="preserve">  ↓</w:t>
        <w:br/>
        <w:t>Explain source boundary; no unrestricted web fallback</w:t>
      </w:r>
    </w:p>
    <w:p>
      <w:pPr>
        <w:pStyle w:val="Heading1"/>
        <w:keepNext/>
      </w:pPr>
      <w:r>
        <w:t>13. Product boundary statement</w:t>
      </w:r>
    </w:p>
    <w:tbl>
      <w:tblPr>
        <w:tblW w:type="auto" w:w="0"/>
        <w:jc w:val="center"/>
        <w:tblLayout w:type="fixed"/>
        <w:tblLook w:firstColumn="1" w:firstRow="1" w:lastColumn="0" w:lastRow="0" w:noHBand="0" w:noVBand="1" w:val="04A0"/>
      </w:tblPr>
      <w:tblGrid>
        <w:gridCol w:w="173"/>
        <w:gridCol w:w="9648"/>
      </w:tblGrid>
      <w:tr>
        <w:trPr>
          <w:cantSplit/>
        </w:trPr>
        <w:tc>
          <w:tcPr>
            <w:tcW w:type="dxa" w:w="5040"/>
            <w:shd w:fill="2E8B84"/>
            <w:tcBorders>
              <w:top w:val="nil"/>
              <w:left w:val="nil"/>
              <w:bottom w:val="nil"/>
              <w:right w:val="nil"/>
            </w:tcBorders>
          </w:tcPr>
          <w:p/>
        </w:tc>
        <w:tc>
          <w:tcPr>
            <w:tcW w:type="dxa" w:w="5040"/>
            <w:shd w:fill="E9F5F3"/>
            <w:tcBorders>
              <w:top w:val="nil"/>
              <w:left w:val="nil"/>
              <w:bottom w:val="nil"/>
              <w:right w:val="nil"/>
            </w:tcBorders>
          </w:tcPr>
          <w:p>
            <w:r>
              <w:rPr>
                <w:b/>
                <w:color w:val="16293D"/>
              </w:rPr>
              <w:t>Recommended About-page wording</w:t>
            </w:r>
          </w:p>
          <w:p>
            <w:pPr>
              <w:spacing w:after="40"/>
            </w:pPr>
            <w:r>
              <w:t>Waypoint uses the indexed Immigration New Zealand Operational Manual as its primary evidence base. It answers only when the indexed Manual provides sufficient support. When a required Manual instruction is missing, Waypoint identifies the corpus gap. When the information is authoritative elsewhere, Waypoint identifies that a different official source is required. Waypoint provides general information and is not immigration advice.</w:t>
            </w:r>
          </w:p>
        </w:tc>
      </w:tr>
    </w:tbl>
    <w:p>
      <w:pPr>
        <w:spacing w:after="20"/>
      </w:pPr>
    </w:p>
    <w:p>
      <w:pPr>
        <w:pStyle w:val="Heading1"/>
      </w:pPr>
      <w:r>
        <w:t>14. Current vs future architecture</w:t>
      </w:r>
    </w:p>
    <w:p>
      <w:pPr>
        <w:pStyle w:val="Heading2"/>
      </w:pPr>
      <w:r>
        <w:t>14.1 Current v1</w:t>
      </w:r>
    </w:p>
    <w:p>
      <w:pPr>
        <w:pStyle w:val="CodeBlock"/>
        <w:spacing w:before="100" w:after="140"/>
        <w:ind w:left="259" w:right="259"/>
        <w:keepLines/>
        <w:shd w:fill="EFF1EC"/>
      </w:pPr>
      <w:r>
        <w:t>Operational Manual corpus</w:t>
        <w:br/>
        <w:t xml:space="preserve">        ↓</w:t>
        <w:br/>
        <w:t>Hybrid retrieval</w:t>
        <w:br/>
        <w:t xml:space="preserve">        ↓</w:t>
        <w:br/>
        <w:t>Evidence adequacy</w:t>
        <w:br/>
        <w:t xml:space="preserve">        ↓</w:t>
        <w:br/>
        <w:t>Answer / corpus gap / external-source-required</w:t>
        <w:br/>
        <w:t xml:space="preserve">        ↓</w:t>
        <w:br/>
        <w:t>Evidence-aware UI</w:t>
      </w:r>
    </w:p>
    <w:p>
      <w:pPr>
        <w:pStyle w:val="Heading2"/>
      </w:pPr>
      <w:r>
        <w:t>14.2 Possible future source expansion</w:t>
      </w:r>
    </w:p>
    <w:p>
      <w:pPr>
        <w:pStyle w:val="CodeBlock"/>
        <w:spacing w:before="100" w:after="140"/>
        <w:ind w:left="259" w:right="259"/>
        <w:keepLines/>
        <w:shd w:fill="EFF1EC"/>
      </w:pPr>
      <w:r>
        <w:t xml:space="preserve">                         +-- Operational Manual</w:t>
        <w:br/>
        <w:t>Question -&gt; source router --+-- NZ legislation</w:t>
        <w:br/>
        <w:t xml:space="preserve">                         +-- official INZ service information</w:t>
        <w:br/>
        <w:t xml:space="preserve">                         +-- NZQA / approved external authority</w:t>
        <w:br/>
        <w:t xml:space="preserve">                         +-- other explicitly allowlisted official source</w:t>
        <w:br/>
        <w:br/>
        <w:t>No unrestricted web fallback.</w:t>
        <w:br/>
        <w:t>Every source family has its own authority and evidence contract.</w:t>
      </w:r>
    </w:p>
    <w:p>
      <w:r>
        <w:t>The future layer should be added only after the Manual-only architecture is stable and evaluated.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B87"/>
        <w:sz w:val="16"/>
      </w:rPr>
      <w:t>Waypoint • Architecture and Question Flow • Draft baseline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1E2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629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629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629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629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before="60"/>
    </w:pPr>
    <w:rPr>
      <w:rFonts w:ascii="Liberation Mono" w:hAnsi="Liberation Mono"/>
      <w:color w:val="1E2B3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