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ummary"/>
      <w:r>
        <w:t xml:space="preserve">Summary</w:t>
      </w:r>
      <w:bookmarkEnd w:id="20"/>
    </w:p>
    <w:p>
      <w:pPr>
        <w:pStyle w:val="FirstParagraph"/>
      </w:pPr>
      <w:r>
        <w:t xml:space="preserve">The built environment consists of the human made space in which humans live, work and recreate everyday.</w:t>
      </w:r>
      <w:r>
        <w:t xml:space="preserve"> </w:t>
      </w:r>
      <w:r>
        <w:t xml:space="preserve">While the features of the built environment range from sidewalk and green space availability to the presence of</w:t>
      </w:r>
      <w:r>
        <w:t xml:space="preserve"> </w:t>
      </w:r>
      <w:r>
        <w:t xml:space="preserve">certain restaurants or community amenities, the focus of this package and paper is on the latter. Specifically, our</w:t>
      </w:r>
      <w:r>
        <w:t xml:space="preserve"> </w:t>
      </w:r>
      <w:r>
        <w:t xml:space="preserve">objective is to model the spatial variability of built environment features (BEF) of a specific class around locations</w:t>
      </w:r>
      <w:r>
        <w:t xml:space="preserve"> </w:t>
      </w:r>
      <w:r>
        <w:t xml:space="preserve">where humans spend most of their time and group these spatial patterns into some number of common clusters. To put</w:t>
      </w:r>
      <w:r>
        <w:t xml:space="preserve"> </w:t>
      </w:r>
      <w:r>
        <w:t xml:space="preserve">this into more concrete terms, we may be interested in how often Fast Food Restaurants are found around schools and</w:t>
      </w:r>
      <w:r>
        <w:t xml:space="preserve"> </w:t>
      </w:r>
      <w:r>
        <w:t xml:space="preserve">whether there are certain schools that are more likely to have fast food restaurants closer to them than others.</w:t>
      </w:r>
    </w:p>
    <w:p>
      <w:pPr>
        <w:pStyle w:val="BodyText"/>
      </w:pPr>
      <w:r>
        <w:rPr>
          <w:rStyle w:val="VerbatimChar"/>
        </w:rPr>
        <w:t xml:space="preserve">rndpp</w:t>
      </w:r>
      <w:r>
        <w:t xml:space="preserve"> </w:t>
      </w:r>
      <w:r>
        <w:t xml:space="preserve">is an R package that estimates and clusters spatial intensity functions in a Bayesian paradigm drawing random</w:t>
      </w:r>
      <w:r>
        <w:t xml:space="preserve"> </w:t>
      </w:r>
      <w:r>
        <w:t xml:space="preserve">mixing measures via the Nested Dirichlet Process (NDP) to non-parametrically estimate and cluster the aforementioned</w:t>
      </w:r>
      <w:r>
        <w:t xml:space="preserve"> </w:t>
      </w:r>
      <w:r>
        <w:t xml:space="preserve">spatial variability. The</w:t>
      </w:r>
      <w:r>
        <w:t xml:space="preserve"> </w:t>
      </w:r>
      <w:r>
        <w:rPr>
          <w:rStyle w:val="VerbatimChar"/>
        </w:rPr>
        <w:t xml:space="preserve">rndpp</w:t>
      </w:r>
      <w:r>
        <w:t xml:space="preserve"> </w:t>
      </w:r>
      <w:r>
        <w:t xml:space="preserve">provides MCMC methods for model fitting so that usual inference summaries - posterior</w:t>
      </w:r>
      <w:r>
        <w:t xml:space="preserve"> </w:t>
      </w:r>
      <w:r>
        <w:t xml:space="preserve">intervals and point estimates can be calculated.</w:t>
      </w:r>
    </w:p>
    <w:p>
      <w:pPr>
        <w:pStyle w:val="Heading1"/>
      </w:pPr>
      <w:bookmarkStart w:id="21" w:name="demonstration"/>
      <w:r>
        <w:t xml:space="preserve">Demonstration</w:t>
      </w:r>
      <w:bookmarkEnd w:id="21"/>
    </w:p>
    <w:p>
      <w:pPr>
        <w:pStyle w:val="FirstParagraph"/>
      </w:pPr>
      <w:r>
        <w:t xml:space="preserve">We’ll now briefly walk through both the theoretical underpinnings of this model set up, as well as a quick</w:t>
      </w:r>
      <w:r>
        <w:t xml:space="preserve"> </w:t>
      </w:r>
      <w:r>
        <w:t xml:space="preserve">example with simulated data.</w:t>
      </w:r>
    </w:p>
    <w:p>
      <w:pPr>
        <w:pStyle w:val="Heading2"/>
      </w:pPr>
      <w:bookmarkStart w:id="22" w:name="theory"/>
      <w:r>
        <w:t xml:space="preserve">Theory</w:t>
      </w:r>
      <w:bookmarkEnd w:id="22"/>
    </w:p>
    <w:p>
      <w:pPr>
        <w:pStyle w:val="FirstParagraph"/>
      </w:pPr>
      <w:r>
        <w:t xml:space="preserve">Suppose we’re interested in exploring the example involving Fast Food Restaurants (FFRs) posed in the first section.</w:t>
      </w:r>
      <w:r>
        <w:t xml:space="preserve"> </w:t>
      </w:r>
      <w:r>
        <w:t xml:space="preserve">Denote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as the distance between the</w:t>
      </w:r>
      <w:r>
        <w:t xml:space="preserve"> </w:t>
      </w:r>
      <m:oMath>
        <m:r>
          <m:t>i</m:t>
        </m:r>
      </m:oMath>
      <w:r>
        <w:t xml:space="preserve">th FFR and the</w:t>
      </w:r>
      <w:r>
        <w:t xml:space="preserve"> </w:t>
      </w:r>
      <m:oMath>
        <m:r>
          <m:t>j</m:t>
        </m:r>
      </m:oMath>
      <w:r>
        <w:t xml:space="preserve">th school within radius</w:t>
      </w:r>
      <w:r>
        <w:t xml:space="preserve"> </w:t>
      </w:r>
      <m:oMath>
        <m:r>
          <m:t>R</m:t>
        </m:r>
      </m:oMath>
      <w:r>
        <w:t xml:space="preserve">. There are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FFRs around the</w:t>
      </w:r>
      <w:r>
        <w:t xml:space="preserve"> </w:t>
      </w:r>
      <m:oMath>
        <m:r>
          <m:t>j</m:t>
        </m:r>
      </m:oMath>
      <w:r>
        <w:t xml:space="preserve">th school and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schools total. We can model these distances as realizations of some number</w:t>
      </w:r>
      <w:r>
        <w:t xml:space="preserve"> </w:t>
      </w:r>
      <w:r>
        <w:t xml:space="preserve">of independent Inhomogeneous Poisson Processes each with spatial intensity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</m:sub>
        </m:sSub>
        <m:r>
          <m:t>(</m:t>
        </m:r>
        <m:r>
          <m:t>⋅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γ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mean number of</w:t>
      </w:r>
      <w:r>
        <w:t xml:space="preserve"> </w:t>
      </w:r>
      <w:r>
        <w:t xml:space="preserve">FFRs within R. From this modeling assumption we gain the following posterior probability expression: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{</m:t>
          </m:r>
          <m:sSub>
            <m:e>
              <m:r>
                <m:t>r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}</m:t>
          </m:r>
          <m:r>
            <m:t>|</m:t>
          </m:r>
          <m:sSub>
            <m:e>
              <m:r>
                <m:t>f</m:t>
              </m:r>
            </m:e>
            <m:sub>
              <m:r>
                <m:t>j</m:t>
              </m:r>
            </m:sub>
          </m:sSub>
          <m:r>
            <m:t>(</m:t>
          </m:r>
          <m:r>
            <m:t>⋅</m:t>
          </m:r>
          <m:r>
            <m:t>)</m:t>
          </m:r>
          <m:r>
            <m:t>,</m:t>
          </m:r>
          <m:sSub>
            <m:e>
              <m:r>
                <m:t>γ</m:t>
              </m:r>
            </m:e>
            <m:sub>
              <m:r>
                <m:t>j</m:t>
              </m:r>
            </m:sub>
          </m:sSub>
          <m:r>
            <m:t>)</m:t>
          </m:r>
          <m:r>
            <m:t>∝</m:t>
          </m:r>
          <m:nary>
            <m:naryPr>
              <m:chr m:val="∏"/>
              <m:limLoc m:val="undOvr"/>
              <m:subHide m:val="0"/>
              <m:supHide m:val="0"/>
            </m:naryPr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r>
                <m:t>J</m:t>
              </m:r>
            </m:sup>
            <m:e>
              <m:sSubSup>
                <m:e>
                  <m:r>
                    <m:t>γ</m:t>
                  </m:r>
                </m:e>
                <m:sub>
                  <m:r>
                    <m:t>j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j</m:t>
                      </m:r>
                    </m:sub>
                  </m:sSub>
                </m:sup>
              </m:sSubSup>
            </m:e>
          </m:nary>
          <m:r>
            <m:rPr>
              <m:sty m:val="p"/>
            </m:rPr>
            <m:t>exp</m:t>
          </m:r>
          <m:r>
            <m:t>{</m:t>
          </m:r>
          <m:r>
            <m:t>−</m:t>
          </m:r>
          <m:sSub>
            <m:e>
              <m:r>
                <m:t>γ</m:t>
              </m:r>
            </m:e>
            <m:sub>
              <m:r>
                <m:t>j</m:t>
              </m:r>
            </m:sub>
          </m:sSub>
          <m:r>
            <m:t>}</m:t>
          </m:r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</m:sup>
            <m:e>
              <m:r>
                <m:t>​</m:t>
              </m:r>
            </m:e>
          </m:nary>
        </m:oMath>
      </m:oMathPara>
    </w:p>
    <w:p>
      <w:pPr>
        <w:pStyle w:val="FirstParagraph"/>
      </w:pPr>
      <w:r>
        <w:t xml:space="preserve">From the above we can see that</w:t>
      </w:r>
      <w:r>
        <w:t xml:space="preserve"> </w:t>
      </w:r>
      <m:oMath>
        <m:sSub>
          <m:e>
            <m:r>
              <m:t>γ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can be modeled separately from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</m:sub>
        </m:sSub>
        <m:r>
          <m:t>(</m:t>
        </m:r>
        <m:r>
          <m:t>⋅</m:t>
        </m:r>
        <m:r>
          <m:t>)</m:t>
        </m:r>
      </m:oMath>
      <w:r>
        <w:t xml:space="preserve">. The</w:t>
      </w:r>
      <w:r>
        <w:t xml:space="preserve"> </w:t>
      </w:r>
      <w:r>
        <w:rPr>
          <w:rStyle w:val="VerbatimChar"/>
        </w:rPr>
        <w:t xml:space="preserve">rndpp</w:t>
      </w:r>
      <w:r>
        <w:t xml:space="preserve"> </w:t>
      </w:r>
      <w:r>
        <w:t xml:space="preserve">provides a</w:t>
      </w:r>
      <w:r>
        <w:t xml:space="preserve"> </w:t>
      </w:r>
      <w:r>
        <w:t xml:space="preserve">simple function</w:t>
      </w:r>
      <w:r>
        <w:t xml:space="preserve"> </w:t>
      </w:r>
      <w:r>
        <w:rPr>
          <w:rStyle w:val="VerbatimChar"/>
        </w:rPr>
        <w:t xml:space="preserve">nhpp_hmc</w:t>
      </w:r>
      <w:r>
        <w:t xml:space="preserve"> </w:t>
      </w:r>
      <w:r>
        <w:t xml:space="preserve">for estimating</w:t>
      </w:r>
      <w:r>
        <w:t xml:space="preserve"> </w:t>
      </w:r>
      <m:oMath>
        <m:sSub>
          <m:e>
            <m:r>
              <m:t>γ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as an exponential function of some covariates:</w:t>
      </w:r>
      <w:r>
        <w:t xml:space="preserve"> </w:t>
      </w:r>
      <m:oMath>
        <m:r>
          <m:rPr>
            <m:sty m:val="p"/>
          </m:rPr>
          <m:t>log</m:t>
        </m:r>
        <m:r>
          <m:t>(</m:t>
        </m:r>
        <m:sSub>
          <m:e>
            <m:r>
              <m:t>γ</m:t>
            </m:r>
          </m:e>
          <m:sub>
            <m:r>
              <m:t>j</m:t>
            </m:r>
          </m:sub>
        </m:sSub>
        <m:r>
          <m:t>)</m:t>
        </m:r>
        <m:r>
          <m:t>=</m:t>
        </m:r>
        <m:sSubSup>
          <m:e>
            <m:r>
              <m:t>x</m:t>
            </m:r>
          </m:e>
          <m:sub>
            <m:r>
              <m:t>j</m:t>
            </m:r>
          </m:sub>
          <m:sup>
            <m:r>
              <m:t>T</m:t>
            </m:r>
          </m:sup>
        </m:sSubSup>
        <m:r>
          <m:t>β</m:t>
        </m:r>
      </m:oMath>
      <w:r>
        <w:t xml:space="preserve">. This is similar to the</w:t>
      </w:r>
      <w:r>
        <w:t xml:space="preserve"> </w:t>
      </w:r>
      <w:r>
        <w:rPr>
          <w:rStyle w:val="VerbatimChar"/>
        </w:rPr>
        <w:t xml:space="preserve">stats::glm</w:t>
      </w:r>
      <w:r>
        <w:t xml:space="preserve"> </w:t>
      </w:r>
      <w:r>
        <w:t xml:space="preserve">function with the</w:t>
      </w:r>
      <w:r>
        <w:t xml:space="preserve"> </w:t>
      </w:r>
      <w:r>
        <w:rPr>
          <w:rStyle w:val="VerbatimChar"/>
        </w:rPr>
        <w:t xml:space="preserve">family = gamma(link='log')</w:t>
      </w:r>
      <w:r>
        <w:t xml:space="preserve"> </w:t>
      </w:r>
      <w:r>
        <w:t xml:space="preserve">setting.</w:t>
      </w:r>
      <w:r>
        <w:t xml:space="preserve"> </w:t>
      </w:r>
      <w:r>
        <w:t xml:space="preserve">Since this model is straightforward and more can be read about it in existing literature, the remainder of this document</w:t>
      </w:r>
      <w:r>
        <w:t xml:space="preserve"> </w:t>
      </w:r>
      <w:r>
        <w:t xml:space="preserve">will focus on the estimation of the</w:t>
      </w:r>
      <w:r>
        <w:t xml:space="preserve"> </w:t>
      </w:r>
      <w:r>
        <w:rPr>
          <w:rStyle w:val="VerbatimChar"/>
        </w:rPr>
        <w:t xml:space="preserve">f_j(\cdot)</w:t>
      </w:r>
      <w:r>
        <w:t xml:space="preserve"> </w:t>
      </w:r>
      <w:r>
        <w:t xml:space="preserve">through the NDP.</w:t>
      </w:r>
    </w:p>
    <w:p>
      <w:pPr>
        <w:pStyle w:val="Heading2"/>
      </w:pPr>
      <w:bookmarkStart w:id="23" w:name="simulation"/>
      <w:r>
        <w:t xml:space="preserve">Simulation</w:t>
      </w:r>
      <w:bookmarkEnd w:id="23"/>
    </w:p>
    <w:p>
      <w:pPr>
        <w:pStyle w:val="FirstParagraph"/>
      </w:pPr>
      <w:r>
        <w:t xml:space="preserve">The first figure below illustrates the true intensity functions from which 50 schools are each simulated.</w:t>
      </w:r>
    </w:p>
    <w:p>
      <w:pPr>
        <w:pStyle w:val="BodyText"/>
      </w:pPr>
      <w:r>
        <w:drawing>
          <wp:inline>
            <wp:extent cx="5334000" cy="37306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_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0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After fitting the model, helper functions included in</w:t>
      </w:r>
      <w:r>
        <w:t xml:space="preserve"> </w:t>
      </w:r>
      <w:r>
        <w:rPr>
          <w:rStyle w:val="VerbatimChar"/>
        </w:rPr>
        <w:t xml:space="preserve">rndpp</w:t>
      </w:r>
      <w:r>
        <w:t xml:space="preserve"> </w:t>
      </w:r>
      <w:r>
        <w:t xml:space="preserve">allow for easy visualization of the estimated clusters</w:t>
      </w:r>
      <w:r>
        <w:t xml:space="preserve"> </w:t>
      </w:r>
      <w:r>
        <w:t xml:space="preserve">both via the estimated densities (Figure 2) and the pairwise probability of co-cluster assignment (Figure 3).</w:t>
      </w:r>
      <w:r>
        <w:t xml:space="preserve"> </w:t>
      </w:r>
      <w:r>
        <w:t xml:space="preserve">The latter is often used in the context of mixture models, since label switching is expected between iterations of</w:t>
      </w:r>
      <w:r>
        <w:t xml:space="preserve"> </w:t>
      </w:r>
      <w:r>
        <w:t xml:space="preserve">the MCMC sampler.</w:t>
      </w:r>
    </w:p>
    <w:p>
      <w:pPr>
        <w:pStyle w:val="BodyText"/>
      </w:pPr>
      <w:r>
        <w:drawing>
          <wp:inline>
            <wp:extent cx="5334000" cy="37306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_fi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0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plot shows our model correctly estimated the true intensity functions, though it may be noticed that the</w:t>
      </w:r>
      <w:r>
        <w:t xml:space="preserve"> </w:t>
      </w:r>
      <w:r>
        <w:t xml:space="preserve">intensity functions always go to zero at the end of the distance. This is because of a</w:t>
      </w:r>
      <w:r>
        <w:t xml:space="preserve"> </w:t>
      </w:r>
      <w:r>
        <w:t xml:space="preserve">“</w:t>
      </w:r>
      <w:r>
        <w:t xml:space="preserve">edge effect</w:t>
      </w:r>
      <w:r>
        <w:t xml:space="preserve">”</w:t>
      </w:r>
      <w:r>
        <w:t xml:space="preserve"> </w:t>
      </w:r>
      <w:r>
        <w:t xml:space="preserve">that results</w:t>
      </w:r>
      <w:r>
        <w:t xml:space="preserve"> </w:t>
      </w:r>
      <w:r>
        <w:t xml:space="preserve">from using a mixture of normals to estimate the intensity functions. The</w:t>
      </w:r>
      <w:r>
        <w:t xml:space="preserve"> </w:t>
      </w:r>
      <w:r>
        <w:rPr>
          <w:rStyle w:val="VerbatimChar"/>
        </w:rPr>
        <w:t xml:space="preserve">rndpp</w:t>
      </w:r>
      <w:r>
        <w:t xml:space="preserve"> </w:t>
      </w:r>
      <w:r>
        <w:t xml:space="preserve">also offers users the option to</w:t>
      </w:r>
      <w:r>
        <w:t xml:space="preserve"> </w:t>
      </w:r>
      <w:r>
        <w:t xml:space="preserve">use a mixture of beta densities, which will not have this some problem. However, it should be noted that</w:t>
      </w:r>
      <w:r>
        <w:t xml:space="preserve"> </w:t>
      </w:r>
      <w:r>
        <w:t xml:space="preserve">sampling with the beta densities is less efficient than with the normal.</w:t>
      </w:r>
    </w:p>
    <w:p>
      <w:pPr>
        <w:pStyle w:val="BodyText"/>
      </w:pPr>
      <w:r>
        <w:drawing>
          <wp:inline>
            <wp:extent cx="5334000" cy="37306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_fi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0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Continuing our examination of the results, we can see that in the above pairwise plot the model is clearly able</w:t>
      </w:r>
      <w:r>
        <w:t xml:space="preserve"> </w:t>
      </w:r>
      <w:r>
        <w:t xml:space="preserve">to distinguish between the 3 different clusters, though it is more easily able to distinguish between cluster 1</w:t>
      </w:r>
      <w:r>
        <w:t xml:space="preserve"> </w:t>
      </w:r>
      <w:r>
        <w:t xml:space="preserve">and 2 than cluster two and three.</w:t>
      </w:r>
    </w:p>
    <w:p>
      <w:pPr>
        <w:pStyle w:val="Heading1"/>
      </w:pPr>
      <w:bookmarkStart w:id="27" w:name="acknowledgments"/>
      <w:r>
        <w:t xml:space="preserve">Acknowledgments</w:t>
      </w:r>
      <w:bookmarkEnd w:id="27"/>
    </w:p>
    <w:p>
      <w:pPr>
        <w:pStyle w:val="FirstParagraph"/>
      </w:pPr>
      <w:r>
        <w:t xml:space="preserve">This work was developed with support from NIH grant R01-HL131610 (PI: Sanchez).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2019-11-06T19:47:22Z</dcterms:created>
  <dcterms:modified xsi:type="dcterms:W3CDTF">2019-11-06T19:47:22Z</dcterms:modified>
</cp:coreProperties>
</file>