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9E90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  <w:t>Main Page — Profile</w:t>
      </w:r>
    </w:p>
    <w:p w14:paraId="4DB4E888" w14:textId="77777777" w:rsidR="002A079E" w:rsidRPr="002A079E" w:rsidRDefault="002A079E" w:rsidP="002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Andiara Petterle, Ph.D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br/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Non-Executive Board Director | Transformation &amp; AI Governance</w:t>
      </w:r>
    </w:p>
    <w:p w14:paraId="30498ABD" w14:textId="77777777" w:rsidR="002A079E" w:rsidRPr="002A079E" w:rsidRDefault="002A079E" w:rsidP="002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Board director and transformation leader with 25+ years driving digital disruption, governance excellence, and sustainable growth across media, tech, financial services, and consumer sectors. Independent director at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Banco Sicredi &amp; SicrediPar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Trocafone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Dialog CI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and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Docile Alimentos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; former vice-chair and strategy chair at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Companhia Melhoramentos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and independent director at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Assaí Atacadista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Knewin LATAM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ANJ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Grupo Cia de Talentos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and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Predicta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105C4CA1" w14:textId="77777777" w:rsidR="002A079E" w:rsidRPr="002A079E" w:rsidRDefault="002A079E" w:rsidP="002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Certified NED (CIPFA/NEDA-UK), Certified Director CCA+ (IBGC), member of WCD, IBGC, NACD, ECGI, and IoD (UK). Ph.D. in Business Administration (Business School Lausanne) on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board effectiveness and digital acumen in the age of AI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3FF47968" w14:textId="77777777" w:rsidR="002A079E" w:rsidRPr="002A079E" w:rsidRDefault="002A079E" w:rsidP="002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Contact: </w:t>
      </w:r>
      <w:hyperlink r:id="rId5" w:history="1">
        <w:r w:rsidRPr="002A079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R"/>
            <w14:ligatures w14:val="none"/>
          </w:rPr>
          <w:t>andiara@apetterle.com</w:t>
        </w:r>
      </w:hyperlink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• São Paulo • London • Lausanne</w:t>
      </w:r>
    </w:p>
    <w:p w14:paraId="20E2581C" w14:textId="77777777" w:rsidR="002A079E" w:rsidRPr="002A079E" w:rsidRDefault="00086F9C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086F9C">
        <w:rPr>
          <w:rFonts w:ascii="Times New Roman" w:eastAsia="Times New Roman" w:hAnsi="Times New Roman" w:cs="Times New Roman"/>
          <w:noProof/>
          <w:kern w:val="0"/>
          <w:lang w:val="en-BR"/>
        </w:rPr>
        <w:pict w14:anchorId="65173B6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65AEF08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  <w:t>Subpage — Bio</w:t>
      </w:r>
    </w:p>
    <w:p w14:paraId="0990DCFA" w14:textId="77777777" w:rsidR="002A079E" w:rsidRPr="002A079E" w:rsidRDefault="002A079E" w:rsidP="002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Entrepreneur → Investor → EVP → Board Director.</w:t>
      </w:r>
    </w:p>
    <w:p w14:paraId="157A18D9" w14:textId="77777777" w:rsidR="002A079E" w:rsidRPr="002A079E" w:rsidRDefault="002A079E" w:rsidP="002A0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Entrepreneurship: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Co-founded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Grupo Bolsa de Mulher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(largest women-focused digital media company in LatAm; later acquired by Vix/Univision). Named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“Internet Hero”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by </w:t>
      </w:r>
      <w:r w:rsidRPr="002A079E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The Next Women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(2009).</w:t>
      </w:r>
    </w:p>
    <w:p w14:paraId="0817EEE3" w14:textId="77777777" w:rsidR="002A079E" w:rsidRPr="002A079E" w:rsidRDefault="002A079E" w:rsidP="002A0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Venture Capital: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Ebricks Digital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(2011–2015): portfolio strategy, M&amp;A, and governance; also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CEO of Predicta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(adtech in 17 countries; among Brazil’s most innovative per </w:t>
      </w:r>
      <w:r w:rsidRPr="002A079E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FastCompany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).</w:t>
      </w:r>
    </w:p>
    <w:p w14:paraId="19343AD5" w14:textId="77777777" w:rsidR="002A079E" w:rsidRPr="002A079E" w:rsidRDefault="002A079E" w:rsidP="002A0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Executive Leadership: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EVP, Grupo RBS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(TV, radio, newspapers, digital). Led an integrated transformation and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financial turnaround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(e.g.,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19% EBITDA margin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in newspaper ops) via digital-first subscriptions, operating-model redesign, and tech integration.</w:t>
      </w:r>
    </w:p>
    <w:p w14:paraId="03C1B1FC" w14:textId="77777777" w:rsidR="002A079E" w:rsidRPr="002A079E" w:rsidRDefault="002A079E" w:rsidP="002A0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Boards &amp; Teaching: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Independent director roles across sectors;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IBGC professor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(Digital Transformation for Board Members). Awards include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Women to Watch (2017)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;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Top 10 Media Executives (2014)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;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Top 5 Female VC Leaders (2013)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38D5B14B" w14:textId="77777777" w:rsidR="002A079E" w:rsidRPr="002A079E" w:rsidRDefault="00086F9C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086F9C">
        <w:rPr>
          <w:rFonts w:ascii="Times New Roman" w:eastAsia="Times New Roman" w:hAnsi="Times New Roman" w:cs="Times New Roman"/>
          <w:noProof/>
          <w:kern w:val="0"/>
          <w:lang w:val="en-BR"/>
        </w:rPr>
        <w:pict w14:anchorId="474E16B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8FF4C2E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  <w:t>Subpage — Doctoral Research</w:t>
      </w:r>
    </w:p>
    <w:p w14:paraId="751A7AEB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Title &amp; Provenance</w:t>
      </w:r>
    </w:p>
    <w:p w14:paraId="13EA6D1B" w14:textId="77777777" w:rsidR="002A079E" w:rsidRPr="002A079E" w:rsidRDefault="002A079E" w:rsidP="002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lastRenderedPageBreak/>
        <w:t>Digital Transformation Leadership: The Role of Board Members’ Digital Acumen in Brazilian Public Companies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—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Business School Lausanne (Ph.D./DBA)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2020–2025;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White Paper | 2025 Edition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23684F4C" w14:textId="77777777" w:rsidR="002A079E" w:rsidRPr="002A079E" w:rsidRDefault="002A079E" w:rsidP="002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Core claim: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“There is no credible long-term corporate strategy without digital transformation — and no credible digital transformation without board digital acumen.”</w:t>
      </w:r>
    </w:p>
    <w:p w14:paraId="73B6C9B5" w14:textId="77777777" w:rsidR="002A079E" w:rsidRPr="002A079E" w:rsidRDefault="002A079E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pict w14:anchorId="19CA247A">
          <v:rect id="_x0000_i1027" style="width:0;height:1.5pt" o:hralign="center" o:hrstd="t" o:hr="t" fillcolor="#a0a0a0" stroked="f"/>
        </w:pict>
      </w:r>
    </w:p>
    <w:p w14:paraId="46652050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Why Board Digital Acumen Matters</w:t>
      </w:r>
    </w:p>
    <w:p w14:paraId="309564C5" w14:textId="77777777" w:rsidR="002A079E" w:rsidRPr="002A079E" w:rsidRDefault="002A079E" w:rsidP="002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Digital disruption has expanded board fiduciary duties toward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data governance, cybersecurity, AI ethics, and ESG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—especially in Brazil, where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LGPD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and global sustainability expectations heighten oversight responsibilities. The paper reframes digital from “IT” to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governance of strategy, risk, ethics, and capital allocation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6E47ACE2" w14:textId="77777777" w:rsidR="002A079E" w:rsidRPr="002A079E" w:rsidRDefault="002A079E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pict w14:anchorId="7AE6266C">
          <v:rect id="_x0000_i1028" style="width:0;height:1.5pt" o:hralign="center" o:hrstd="t" o:hr="t" fillcolor="#a0a0a0" stroked="f"/>
        </w:pict>
      </w:r>
    </w:p>
    <w:p w14:paraId="4EC059B4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Research Design &amp; Data</w:t>
      </w:r>
    </w:p>
    <w:p w14:paraId="443E351E" w14:textId="77777777" w:rsidR="002A079E" w:rsidRPr="002A079E" w:rsidRDefault="002A079E" w:rsidP="002A0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Method mix: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65 survey responses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9 elite interviews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70+ governance documents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from prominent Brazilian public companies.</w:t>
      </w:r>
    </w:p>
    <w:p w14:paraId="21889ADD" w14:textId="77777777" w:rsidR="002A079E" w:rsidRPr="002A079E" w:rsidRDefault="002A079E" w:rsidP="002A0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Sample context: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Sectors with intense disruption—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financial services (20%)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industry (16%)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retail (16%)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technology/telecom (16%)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10A9D765" w14:textId="77777777" w:rsidR="002A079E" w:rsidRPr="002A079E" w:rsidRDefault="002A079E" w:rsidP="002A0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Demographics: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41% women / 59% men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;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age 55–64 (39%)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;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45–54 (32%)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5EB8FFA0" w14:textId="77777777" w:rsidR="002A079E" w:rsidRPr="002A079E" w:rsidRDefault="002A079E" w:rsidP="002A0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Self-assessed competence: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39% competent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18% proficient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0% expert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;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57%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report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no direct digital experience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7A339754" w14:textId="77777777" w:rsidR="002A079E" w:rsidRPr="002A079E" w:rsidRDefault="002A079E" w:rsidP="002A0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Figures:</w:t>
      </w:r>
    </w:p>
    <w:p w14:paraId="28417B89" w14:textId="77777777" w:rsidR="002A079E" w:rsidRPr="002A079E" w:rsidRDefault="002A079E" w:rsidP="002A07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Governance Gap in Numbers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(bar/pie charts,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page 4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) quantifies experience and confidence gaps.</w:t>
      </w:r>
    </w:p>
    <w:p w14:paraId="732D0092" w14:textId="77777777" w:rsidR="002A079E" w:rsidRPr="002A079E" w:rsidRDefault="002A079E" w:rsidP="002A07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Transformational Governance Framework (TGF)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visual (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page 7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) maps competencies ↔ practices.</w:t>
      </w:r>
    </w:p>
    <w:p w14:paraId="207BDE06" w14:textId="77777777" w:rsidR="002A079E" w:rsidRPr="002A079E" w:rsidRDefault="002A079E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pict w14:anchorId="6A5CEFB9">
          <v:rect id="_x0000_i1029" style="width:0;height:1.5pt" o:hralign="center" o:hrstd="t" o:hr="t" fillcolor="#a0a0a0" stroked="f"/>
        </w:pict>
      </w:r>
    </w:p>
    <w:p w14:paraId="4B013EC2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Key Findings (What the Evidence Shows)</w:t>
      </w:r>
    </w:p>
    <w:p w14:paraId="09D16342" w14:textId="77777777" w:rsidR="002A079E" w:rsidRPr="002A079E" w:rsidRDefault="002A079E" w:rsidP="002A0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Strategic &gt; Technical at board level.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Directors create value by steering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strategy, capital gates, and ethics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rather than mastering code.</w:t>
      </w:r>
    </w:p>
    <w:p w14:paraId="40D99918" w14:textId="77777777" w:rsidR="002A079E" w:rsidRPr="002A079E" w:rsidRDefault="002A079E" w:rsidP="002A0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Competency gaps are material.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Majority lack hands-on digital background; confidence plateaus below “expert”.</w:t>
      </w:r>
    </w:p>
    <w:p w14:paraId="76D2F772" w14:textId="77777777" w:rsidR="002A079E" w:rsidRPr="002A079E" w:rsidRDefault="002A079E" w:rsidP="002A0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Digital acumen correlates with outcomes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across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efficiency, cyber resilience, innovation, customer value, and ESG-aligned legitimacy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166BC66E" w14:textId="77777777" w:rsidR="002A079E" w:rsidRPr="002A079E" w:rsidRDefault="002A079E" w:rsidP="002A0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Structures matter.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Boards with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digital/innovation committees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recurring digital agenda items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and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digital KPIs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show stronger oversight and results.</w:t>
      </w:r>
    </w:p>
    <w:p w14:paraId="3FA820BC" w14:textId="77777777" w:rsidR="002A079E" w:rsidRPr="002A079E" w:rsidRDefault="002A079E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lastRenderedPageBreak/>
        <w:pict w14:anchorId="0A657B08">
          <v:rect id="_x0000_i1030" style="width:0;height:1.5pt" o:hralign="center" o:hrstd="t" o:hr="t" fillcolor="#a0a0a0" stroked="f"/>
        </w:pict>
      </w:r>
    </w:p>
    <w:p w14:paraId="2FFC9DAC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Transformational Governance Framework (TGF)</w:t>
      </w:r>
    </w:p>
    <w:p w14:paraId="09398D01" w14:textId="77777777" w:rsidR="002A079E" w:rsidRPr="002A079E" w:rsidRDefault="002A079E" w:rsidP="002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A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board-first operating system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connecting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skills, structures, ethics, learning, and outcomes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7FE317B5" w14:textId="77777777" w:rsidR="002A079E" w:rsidRPr="002A079E" w:rsidRDefault="002A079E" w:rsidP="002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Five pillars</w:t>
      </w:r>
    </w:p>
    <w:p w14:paraId="46116B5F" w14:textId="77777777" w:rsidR="002A079E" w:rsidRPr="002A079E" w:rsidRDefault="002A079E" w:rsidP="002A0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Digital Competencies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— AI/data literacy, cyber posture, platform thinking</w:t>
      </w:r>
    </w:p>
    <w:p w14:paraId="2550F5A7" w14:textId="77777777" w:rsidR="002A079E" w:rsidRPr="002A079E" w:rsidRDefault="002A079E" w:rsidP="002A0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Strategic Integration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— portfolio logic, capital allocation, investment gates</w:t>
      </w:r>
    </w:p>
    <w:p w14:paraId="2DECCEDA" w14:textId="77777777" w:rsidR="002A079E" w:rsidRPr="002A079E" w:rsidRDefault="002A079E" w:rsidP="002A0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Ethical &amp; Responsible Leadership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— LGPD, algorithmic fairness, model risk governance</w:t>
      </w:r>
    </w:p>
    <w:p w14:paraId="70C84A19" w14:textId="77777777" w:rsidR="002A079E" w:rsidRPr="002A079E" w:rsidRDefault="002A079E" w:rsidP="002A0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Adaptive Learning Culture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— quarterly learning cadence, immersions, partnerships (e.g., MIT/PwC)</w:t>
      </w:r>
    </w:p>
    <w:p w14:paraId="4ECF972B" w14:textId="77777777" w:rsidR="002A079E" w:rsidRPr="002A079E" w:rsidRDefault="002A079E" w:rsidP="002A0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Outcome Orientation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— adoption metrics, risk-adjusted ROI, stakeholder value</w:t>
      </w:r>
    </w:p>
    <w:p w14:paraId="0CE730A7" w14:textId="77777777" w:rsidR="002A079E" w:rsidRPr="002A079E" w:rsidRDefault="002A079E" w:rsidP="002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 xml:space="preserve">See the TGF diagram (page 7) and the “Board Digital Maturity Model” (page 17) scaling from </w:t>
      </w:r>
      <w:r w:rsidRPr="002A079E">
        <w:rPr>
          <w:rFonts w:ascii="Times New Roman" w:eastAsia="Times New Roman" w:hAnsi="Times New Roman" w:cs="Times New Roman"/>
          <w:b/>
          <w:bCs/>
          <w:i/>
          <w:iCs/>
          <w:kern w:val="0"/>
          <w:lang w:val="en-BR"/>
          <w14:ligatures w14:val="none"/>
        </w:rPr>
        <w:t>Awareness → Leadership</w:t>
      </w:r>
      <w:r w:rsidRPr="002A079E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.</w:t>
      </w:r>
    </w:p>
    <w:p w14:paraId="1C423CF4" w14:textId="77777777" w:rsidR="002A079E" w:rsidRPr="002A079E" w:rsidRDefault="002A079E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pict w14:anchorId="722D87D1">
          <v:rect id="_x0000_i1031" style="width:0;height:1.5pt" o:hralign="center" o:hrstd="t" o:hr="t" fillcolor="#a0a0a0" stroked="f"/>
        </w:pict>
      </w:r>
    </w:p>
    <w:p w14:paraId="34291EA7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Competency &amp; Practice Clusters (What Boards Actually Do)</w:t>
      </w:r>
    </w:p>
    <w:p w14:paraId="2889C77C" w14:textId="77777777" w:rsidR="002A079E" w:rsidRPr="002A079E" w:rsidRDefault="002A079E" w:rsidP="002A0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Competencies: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Strategic digital literacy; analytical &amp; risk oversight; capital allocation/ROI; ethical judgment; continuous learning.</w:t>
      </w:r>
    </w:p>
    <w:p w14:paraId="48B69938" w14:textId="77777777" w:rsidR="002A079E" w:rsidRPr="002A079E" w:rsidRDefault="002A079E" w:rsidP="002A0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Practices: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Digital committees; standing agenda items;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digital KPIs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(e.g., adoption, AI ROI, cyber MTTR); ESG integration.</w:t>
      </w:r>
    </w:p>
    <w:p w14:paraId="2020C386" w14:textId="77777777" w:rsidR="002A079E" w:rsidRPr="002A079E" w:rsidRDefault="002A079E" w:rsidP="002A0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Ethical &amp; cultural enablers: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Trust as currency; diversity improves debate on AI ethics and customer-centricity; institutionalized learning (quarterly workshops, immersions).</w:t>
      </w:r>
    </w:p>
    <w:p w14:paraId="23F9BEC7" w14:textId="77777777" w:rsidR="002A079E" w:rsidRPr="002A079E" w:rsidRDefault="002A079E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pict w14:anchorId="57C059AE">
          <v:rect id="_x0000_i1032" style="width:0;height:1.5pt" o:hralign="center" o:hrstd="t" o:hr="t" fillcolor="#a0a0a0" stroked="f"/>
        </w:pict>
      </w:r>
    </w:p>
    <w:p w14:paraId="3F189CA1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Board Digital Maturity Model (Levels 1–5)</w:t>
      </w:r>
    </w:p>
    <w:p w14:paraId="2E3D9924" w14:textId="77777777" w:rsidR="002A079E" w:rsidRPr="002A079E" w:rsidRDefault="002A079E" w:rsidP="002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1 Awareness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(IT cost) →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2 Adoption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(isolated projects) →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3 Integration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(strategy+digital) →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4 Stewardship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(ethics &amp; ESG embedded) →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5 Leadership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(ecosystem-shaping boards). </w:t>
      </w:r>
      <w:r w:rsidRPr="002A079E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Graph on page 17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0C28CCF4" w14:textId="77777777" w:rsidR="002A079E" w:rsidRPr="002A079E" w:rsidRDefault="002A079E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pict w14:anchorId="093D52B0">
          <v:rect id="_x0000_i1033" style="width:0;height:1.5pt" o:hralign="center" o:hrstd="t" o:hr="t" fillcolor="#a0a0a0" stroked="f"/>
        </w:pict>
      </w:r>
    </w:p>
    <w:p w14:paraId="144B5C13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Impact Areas (Where Value Shows Up)</w:t>
      </w:r>
    </w:p>
    <w:p w14:paraId="2A17F78E" w14:textId="77777777" w:rsidR="002A079E" w:rsidRPr="002A079E" w:rsidRDefault="002A079E" w:rsidP="002A0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Operational Efficiency: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boards back automation, require ROI tracking; vignette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RD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(telehealth/wellness).</w:t>
      </w:r>
    </w:p>
    <w:p w14:paraId="7480D454" w14:textId="77777777" w:rsidR="002A079E" w:rsidRPr="002A079E" w:rsidRDefault="002A079E" w:rsidP="002A0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lastRenderedPageBreak/>
        <w:t>Cybersecurity &amp; Risk: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reframe cyber as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enterprise risk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; strong audit/risk integration; vignette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Itaú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0D5EA13D" w14:textId="77777777" w:rsidR="002A079E" w:rsidRPr="002A079E" w:rsidRDefault="002A079E" w:rsidP="002A0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Innovation &amp; Business Models: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shift board debate from IT upgrades to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business reinvention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;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capital gates for AI/data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; vignette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Localiza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025C6B45" w14:textId="77777777" w:rsidR="002A079E" w:rsidRPr="002A079E" w:rsidRDefault="002A079E" w:rsidP="002A0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Customer-Centric Value: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link digital with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ESG and inclusion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; vignette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Vivo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2E8BDBD5" w14:textId="77777777" w:rsidR="002A079E" w:rsidRPr="002A079E" w:rsidRDefault="002A079E" w:rsidP="002A0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Financial &amp; Market Performance: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digital acumen increases investor credibility, especially when tied to ESG reporting; vignette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Natura &amp;Co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467D42D6" w14:textId="77777777" w:rsidR="002A079E" w:rsidRPr="002A079E" w:rsidRDefault="002A079E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pict w14:anchorId="1099E1B0">
          <v:rect id="_x0000_i1034" style="width:0;height:1.5pt" o:hralign="center" o:hrstd="t" o:hr="t" fillcolor="#a0a0a0" stroked="f"/>
        </w:pict>
      </w:r>
    </w:p>
    <w:p w14:paraId="4E79EF06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Barriers (What Holds Boards Back)</w:t>
      </w:r>
    </w:p>
    <w:p w14:paraId="36D38682" w14:textId="77777777" w:rsidR="002A079E" w:rsidRPr="002A079E" w:rsidRDefault="002A079E" w:rsidP="002A0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Resistance &amp; misunderstanding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(“it’s IT, not strategy”).</w:t>
      </w:r>
    </w:p>
    <w:p w14:paraId="6BDBEE15" w14:textId="77777777" w:rsidR="002A079E" w:rsidRPr="002A079E" w:rsidRDefault="002A079E" w:rsidP="002A0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Keeping pace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with AI/cyber change.</w:t>
      </w:r>
    </w:p>
    <w:p w14:paraId="6F49990E" w14:textId="77777777" w:rsidR="002A079E" w:rsidRPr="002A079E" w:rsidRDefault="002A079E" w:rsidP="002A0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Communication gaps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(no shared vocabulary).</w:t>
      </w:r>
    </w:p>
    <w:p w14:paraId="7581B0D5" w14:textId="77777777" w:rsidR="002A079E" w:rsidRPr="002A079E" w:rsidRDefault="002A079E" w:rsidP="002A0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Weak ROI models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and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legacy tech constraints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br/>
      </w:r>
      <w:r w:rsidRPr="002A079E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Chart “Barriers to Digital Transformation — Frequency vs Impact,” page 15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0B69DA3C" w14:textId="77777777" w:rsidR="002A079E" w:rsidRPr="002A079E" w:rsidRDefault="002A079E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pict w14:anchorId="7A73D5CE">
          <v:rect id="_x0000_i1035" style="width:0;height:1.5pt" o:hralign="center" o:hrstd="t" o:hr="t" fillcolor="#a0a0a0" stroked="f"/>
        </w:pict>
      </w:r>
    </w:p>
    <w:p w14:paraId="76E5F733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Enablers (What Successful Boards Do)</w:t>
      </w:r>
    </w:p>
    <w:p w14:paraId="6F4963B3" w14:textId="77777777" w:rsidR="002A079E" w:rsidRPr="002A079E" w:rsidRDefault="002A079E" w:rsidP="002A0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Tone from the top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: frame digital as core strategy (“There is no long-term without being fully oriented to digital transformation.”)</w:t>
      </w:r>
    </w:p>
    <w:p w14:paraId="6D82B3C0" w14:textId="77777777" w:rsidR="002A079E" w:rsidRPr="002A079E" w:rsidRDefault="002A079E" w:rsidP="002A0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Integrate with ESG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: explicit digital-ESG linkages in board reports (e.g.,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TOTVS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)</w:t>
      </w:r>
    </w:p>
    <w:p w14:paraId="4A36B1FA" w14:textId="77777777" w:rsidR="002A079E" w:rsidRPr="002A079E" w:rsidRDefault="002A079E" w:rsidP="002A0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Permanent learning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: quarterly sprints, immersions, certification paths (IBGC, MIT, etc.)</w:t>
      </w:r>
    </w:p>
    <w:p w14:paraId="2F56ACF2" w14:textId="77777777" w:rsidR="002A079E" w:rsidRPr="002A079E" w:rsidRDefault="002A079E" w:rsidP="002A0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Structures &amp; resources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: digital committees; reskilling budgets as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capital allocation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decisions.</w:t>
      </w:r>
    </w:p>
    <w:p w14:paraId="2B3593AF" w14:textId="77777777" w:rsidR="002A079E" w:rsidRPr="002A079E" w:rsidRDefault="00086F9C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086F9C">
        <w:rPr>
          <w:rFonts w:ascii="Times New Roman" w:eastAsia="Times New Roman" w:hAnsi="Times New Roman" w:cs="Times New Roman"/>
          <w:noProof/>
          <w:kern w:val="0"/>
          <w:lang w:val="en-BR"/>
        </w:rPr>
        <w:pict w14:anchorId="48DE3AD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16F7D43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Tools You Can Use (From Research → Boardroom)</w:t>
      </w:r>
    </w:p>
    <w:p w14:paraId="6D254143" w14:textId="77777777" w:rsidR="002A079E" w:rsidRPr="002A079E" w:rsidRDefault="002A079E" w:rsidP="002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TG:BoardOS™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(skills heatmap, quarterly scorecard, agenda templates),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TG:Signal™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(horizon maps, scenarios),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TG:Rebuild™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(AI-native operating model),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TG:AITrust™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(AI policy stack, model registry, human-in-the-loop),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TG:CultureShift™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(adoption dashboards, role-based curricula). </w:t>
      </w:r>
      <w:r w:rsidRPr="002A079E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Slide blueprints on pages 18–22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4945A3F2" w14:textId="77777777" w:rsidR="002A079E" w:rsidRPr="002A079E" w:rsidRDefault="00086F9C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086F9C">
        <w:rPr>
          <w:rFonts w:ascii="Times New Roman" w:eastAsia="Times New Roman" w:hAnsi="Times New Roman" w:cs="Times New Roman"/>
          <w:noProof/>
          <w:kern w:val="0"/>
          <w:lang w:val="en-BR"/>
        </w:rPr>
        <w:pict w14:anchorId="10853A3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FAF5774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BoardAcumen™ — Digital Competency Assessment</w:t>
      </w:r>
    </w:p>
    <w:p w14:paraId="54BABD21" w14:textId="77777777" w:rsidR="002A079E" w:rsidRPr="002A079E" w:rsidRDefault="002A079E" w:rsidP="002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Scoring (0–100)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weighted by: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Cyber &amp; Data (25%)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Digital Strategy &amp; Capital (20%)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Foresight &amp; Innovation (20%)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Change &amp; Culture (15%)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Ethical Governance (10%)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lastRenderedPageBreak/>
        <w:t>Continuous Learning (10%)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. Inputs blend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scenarios (40%)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résumé (35%)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public data (25%)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br/>
        <w:t xml:space="preserve">Artifacts include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radar chart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skills heatmap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and a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board DCS gauge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(target ≥70). </w:t>
      </w:r>
      <w:r w:rsidRPr="002A079E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Slide on page 23; data templates page 24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1AF6797A" w14:textId="77777777" w:rsidR="002A079E" w:rsidRPr="002A079E" w:rsidRDefault="00086F9C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086F9C">
        <w:rPr>
          <w:rFonts w:ascii="Times New Roman" w:eastAsia="Times New Roman" w:hAnsi="Times New Roman" w:cs="Times New Roman"/>
          <w:noProof/>
          <w:kern w:val="0"/>
          <w:lang w:val="en-BR"/>
        </w:rPr>
        <w:pict w14:anchorId="6217AC4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C9EF2AA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What This Means for Stakeholders</w:t>
      </w:r>
    </w:p>
    <w:p w14:paraId="78D0708C" w14:textId="77777777" w:rsidR="002A079E" w:rsidRPr="002A079E" w:rsidRDefault="002A079E" w:rsidP="002A0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Boards: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Treat digital acumen like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financial literacy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—a non-negotiable. Institutionalize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committees, KPIs, and reskilling budgets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6F7A9062" w14:textId="77777777" w:rsidR="002A079E" w:rsidRPr="002A079E" w:rsidRDefault="002A079E" w:rsidP="002A0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Policymakers/Standard-setters: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Evolve codes to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mandate disclosure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of board digital competencies; align with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ESG-digital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integration.</w:t>
      </w:r>
    </w:p>
    <w:p w14:paraId="4C020499" w14:textId="77777777" w:rsidR="002A079E" w:rsidRPr="002A079E" w:rsidRDefault="002A079E" w:rsidP="002A0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Investors: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Use maturity models and disclosed competencies as a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resilience proxy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; request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board-level digital disclosures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04774B4F" w14:textId="77777777" w:rsidR="002A079E" w:rsidRPr="002A079E" w:rsidRDefault="00086F9C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086F9C">
        <w:rPr>
          <w:rFonts w:ascii="Times New Roman" w:eastAsia="Times New Roman" w:hAnsi="Times New Roman" w:cs="Times New Roman"/>
          <w:noProof/>
          <w:kern w:val="0"/>
          <w:lang w:val="en-BR"/>
        </w:rPr>
        <w:pict w14:anchorId="4138ADC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F90D47D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About the Author</w:t>
      </w:r>
    </w:p>
    <w:p w14:paraId="2234A17E" w14:textId="77777777" w:rsidR="002A079E" w:rsidRPr="002A079E" w:rsidRDefault="002A079E" w:rsidP="002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Andiara Petterle, Ph.D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— independent board director (Sicredi, Trocafone, Dialog CI, Docile), former vice-chair (Melhoramentos) and director (Assaí, Knewin, ANJ, Cia de Talentos), EVP (Grupo RBS), tech entrepreneur/investor (Grupo Bolsa de Mulher, Ebricks, Predicta). Certified NED (CIPFA/NEDA-UK), IBGC CCA+, and member of WCD, IBGC, NACD, ECGI, IoD (UK).</w:t>
      </w:r>
    </w:p>
    <w:p w14:paraId="58242FC5" w14:textId="77777777" w:rsidR="002A079E" w:rsidRPr="002A079E" w:rsidRDefault="00086F9C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086F9C">
        <w:rPr>
          <w:rFonts w:ascii="Times New Roman" w:eastAsia="Times New Roman" w:hAnsi="Times New Roman" w:cs="Times New Roman"/>
          <w:noProof/>
          <w:kern w:val="0"/>
          <w:lang w:val="en-BR"/>
        </w:rPr>
        <w:pict w14:anchorId="3670906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F497FF7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  <w:t>Subpage — Books (Soon)</w:t>
      </w:r>
    </w:p>
    <w:p w14:paraId="41BF1A0C" w14:textId="77777777" w:rsidR="002A079E" w:rsidRPr="002A079E" w:rsidRDefault="002A079E" w:rsidP="002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1) The Digital Board: Governing in the Age of AI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— Playbooks for TGF, committee design, capital gates, and AI-ethics assurance (based on Ph.D. research).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br/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2) ESG, Trust &amp; Technology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— How directors weave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LGPD, cyber, AI ethics, and sustainability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into strategy.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br/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3) From Startup to Boardroom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— A practical memoir across entrepreneurship, VC, executive turnaround, and board leadership.</w:t>
      </w:r>
    </w:p>
    <w:p w14:paraId="5B5706D0" w14:textId="77777777" w:rsidR="002A079E" w:rsidRPr="002A079E" w:rsidRDefault="00086F9C" w:rsidP="002A07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086F9C">
        <w:rPr>
          <w:rFonts w:ascii="Times New Roman" w:eastAsia="Times New Roman" w:hAnsi="Times New Roman" w:cs="Times New Roman"/>
          <w:noProof/>
          <w:kern w:val="0"/>
          <w:lang w:val="en-BR"/>
        </w:rPr>
        <w:pict w14:anchorId="17608DB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4AD4C34" w14:textId="77777777" w:rsidR="002A079E" w:rsidRPr="002A079E" w:rsidRDefault="002A079E" w:rsidP="002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Final Cross-check highlights (consistency &amp; currency)</w:t>
      </w:r>
    </w:p>
    <w:p w14:paraId="77513D48" w14:textId="77777777" w:rsidR="002A079E" w:rsidRPr="002A079E" w:rsidRDefault="002A079E" w:rsidP="002A0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Current board roles and dates, certifications, education, honors, and locations match the résumé (including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CIPFA/NEDA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certificate and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IBGC CCA+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; </w:t>
      </w:r>
      <w:r w:rsidRPr="002A079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Docile Alimentos – Advisory Board Member (2025–current)</w:t>
      </w: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).</w:t>
      </w:r>
    </w:p>
    <w:p w14:paraId="02A8DD8F" w14:textId="77777777" w:rsidR="002A079E" w:rsidRPr="002A079E" w:rsidRDefault="002A079E" w:rsidP="002A0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2A079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lastRenderedPageBreak/>
        <w:t>Research statistics, figures, frameworks, tools, quotes, and slide references map precisely to the 2025 white paper (pages noted above).</w:t>
      </w:r>
    </w:p>
    <w:p w14:paraId="5208AFF6" w14:textId="77777777" w:rsidR="0015701C" w:rsidRDefault="0015701C"/>
    <w:sectPr w:rsidR="001570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3AA0"/>
    <w:multiLevelType w:val="multilevel"/>
    <w:tmpl w:val="7FC63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854F0"/>
    <w:multiLevelType w:val="multilevel"/>
    <w:tmpl w:val="7E1C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52DC4"/>
    <w:multiLevelType w:val="multilevel"/>
    <w:tmpl w:val="EC02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441F2"/>
    <w:multiLevelType w:val="multilevel"/>
    <w:tmpl w:val="5F5A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17403"/>
    <w:multiLevelType w:val="multilevel"/>
    <w:tmpl w:val="BF54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F7DB2"/>
    <w:multiLevelType w:val="multilevel"/>
    <w:tmpl w:val="E7D8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16DF4"/>
    <w:multiLevelType w:val="multilevel"/>
    <w:tmpl w:val="CF4C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84E70"/>
    <w:multiLevelType w:val="multilevel"/>
    <w:tmpl w:val="A85E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B865E8"/>
    <w:multiLevelType w:val="multilevel"/>
    <w:tmpl w:val="AA68D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816B91"/>
    <w:multiLevelType w:val="multilevel"/>
    <w:tmpl w:val="E878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365592">
    <w:abstractNumId w:val="6"/>
  </w:num>
  <w:num w:numId="2" w16cid:durableId="613170253">
    <w:abstractNumId w:val="5"/>
  </w:num>
  <w:num w:numId="3" w16cid:durableId="1415854452">
    <w:abstractNumId w:val="0"/>
  </w:num>
  <w:num w:numId="4" w16cid:durableId="1568956576">
    <w:abstractNumId w:val="7"/>
  </w:num>
  <w:num w:numId="5" w16cid:durableId="1462921719">
    <w:abstractNumId w:val="4"/>
  </w:num>
  <w:num w:numId="6" w16cid:durableId="212888133">
    <w:abstractNumId w:val="8"/>
  </w:num>
  <w:num w:numId="7" w16cid:durableId="1219826274">
    <w:abstractNumId w:val="3"/>
  </w:num>
  <w:num w:numId="8" w16cid:durableId="168255918">
    <w:abstractNumId w:val="9"/>
  </w:num>
  <w:num w:numId="9" w16cid:durableId="1787121903">
    <w:abstractNumId w:val="2"/>
  </w:num>
  <w:num w:numId="10" w16cid:durableId="147286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9E"/>
    <w:rsid w:val="00086F9C"/>
    <w:rsid w:val="0015701C"/>
    <w:rsid w:val="002A079E"/>
    <w:rsid w:val="008A40DE"/>
    <w:rsid w:val="00DF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2DAA23"/>
  <w15:chartTrackingRefBased/>
  <w15:docId w15:val="{0D403433-4B8B-9243-B1D9-45D93EB8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0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79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A079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79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79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79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79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79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79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79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A0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79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79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A0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79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A0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79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A07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0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BR"/>
      <w14:ligatures w14:val="none"/>
    </w:rPr>
  </w:style>
  <w:style w:type="character" w:styleId="Strong">
    <w:name w:val="Strong"/>
    <w:basedOn w:val="DefaultParagraphFont"/>
    <w:uiPriority w:val="22"/>
    <w:qFormat/>
    <w:rsid w:val="002A079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A079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A07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diara@apetter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1148</Words>
  <Characters>7743</Characters>
  <Application>Microsoft Office Word</Application>
  <DocSecurity>0</DocSecurity>
  <Lines>164</Lines>
  <Paragraphs>63</Paragraphs>
  <ScaleCrop>false</ScaleCrop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Andiara Petterle</dc:creator>
  <cp:keywords/>
  <dc:description/>
  <cp:lastModifiedBy>Andiara Petterle</cp:lastModifiedBy>
  <cp:revision>1</cp:revision>
  <dcterms:created xsi:type="dcterms:W3CDTF">2025-09-24T19:59:00Z</dcterms:created>
  <dcterms:modified xsi:type="dcterms:W3CDTF">2025-09-24T20:00:00Z</dcterms:modified>
</cp:coreProperties>
</file>