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9752"/>
      </w:tblGrid>
      <w:tr>
        <w:tc>
          <w:tcPr>
            <w:tcW w:type="dxa" w:w="9752"/>
            <w:tcBorders>
              <w:top w:val="none" w:color="FFFFFF" w:sz="0"/>
              <w:left w:val="none" w:color="FFFFFF" w:sz="0"/>
              <w:bottom w:val="none" w:color="FFFFFF" w:sz="0"/>
              <w:right w:val="none" w:color="FFFFFF" w:sz="0"/>
            </w:tcBorders>
            <w:shd w:fill="1A3C6B" w:val="clear"/>
            <w:tcMar>
              <w:top w:type="dxa" w:w="400"/>
              <w:left w:type="dxa" w:w="400"/>
              <w:bottom w:type="dxa" w:w="400"/>
              <w:right w:type="dxa" w:w="400"/>
            </w:tcMar>
          </w:tcPr>
          <w:p>
            <w:pPr>
              <w:spacing w:before="0" w:after="60"/>
              <w:jc w:val="center"/>
            </w:pPr>
            <w:r>
              <w:rPr>
                <w:rFonts w:ascii="Arial" w:cs="Arial" w:eastAsia="Arial" w:hAnsi="Arial"/>
                <w:b/>
                <w:bCs/>
                <w:color w:val="FFFFFF"/>
                <w:sz w:val="52"/>
                <w:szCs w:val="52"/>
              </w:rPr>
              <w:t xml:space="preserve">AMADEUS API</w:t>
            </w:r>
          </w:p>
          <w:p>
            <w:pPr>
              <w:spacing w:before="0" w:after="120"/>
              <w:jc w:val="center"/>
            </w:pPr>
            <w:r>
              <w:rPr>
                <w:rFonts w:ascii="Arial" w:cs="Arial" w:eastAsia="Arial" w:hAnsi="Arial"/>
                <w:color w:val="D6E4F0"/>
                <w:sz w:val="28"/>
                <w:szCs w:val="28"/>
              </w:rPr>
              <w:t xml:space="preserve">Feature Compatibility &amp; Integration Research Document</w:t>
            </w:r>
          </w:p>
          <w:p>
            <w:pPr>
              <w:spacing w:before="0" w:after="80"/>
              <w:jc w:val="center"/>
            </w:pPr>
            <w:r>
              <w:rPr>
                <w:rFonts w:ascii="Arial" w:cs="Arial" w:eastAsia="Arial" w:hAnsi="Arial"/>
                <w:color w:val="CCDDEE"/>
                <w:sz w:val="22"/>
                <w:szCs w:val="22"/>
              </w:rPr>
              <w:t xml:space="preserve">Self-Service API vs Enterprise API — Complete Feature Assessment</w:t>
            </w:r>
          </w:p>
          <w:p>
            <w:pPr>
              <w:jc w:val="center"/>
            </w:pPr>
            <w:r>
              <w:rPr>
                <w:rFonts w:ascii="Arial" w:cs="Arial" w:eastAsia="Arial" w:hAnsi="Arial"/>
                <w:color w:val="AACCDD"/>
                <w:sz w:val="19"/>
                <w:szCs w:val="19"/>
              </w:rPr>
              <w:t xml:space="preserve">Travel Agency Platform   |   March 2026   |   Client Presentation</w:t>
            </w:r>
          </w:p>
        </w:tc>
      </w:tr>
    </w:tbl>
    <w:p>
      <w:pPr>
        <w:spacing w:before="0" w:after="0"/>
      </w:pPr>
      <w:r>
        <w:rPr>
          <w:sz w:val="24"/>
          <w:szCs w:val="24"/>
        </w:rPr>
        <w:t xml:space="preserve"/>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9752"/>
      </w:tblGrid>
      <w:tr>
        <w:tc>
          <w:tcPr>
            <w:tcW w:type="dxa" w:w="9752"/>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before="0" w:after="80"/>
            </w:pPr>
            <w:r>
              <w:rPr>
                <w:rFonts w:ascii="Arial" w:cs="Arial" w:eastAsia="Arial" w:hAnsi="Arial"/>
                <w:b/>
                <w:bCs/>
                <w:color w:val="1A3C6B"/>
                <w:sz w:val="22"/>
                <w:szCs w:val="22"/>
              </w:rPr>
              <w:t xml:space="preserve">Executive Summary</w:t>
            </w:r>
          </w:p>
          <w:p>
            <w:pPr>
              <w:spacing w:before="40" w:after="40"/>
            </w:pPr>
            <w:r>
              <w:rPr>
                <w:rFonts w:ascii="Arial" w:cs="Arial" w:eastAsia="Arial" w:hAnsi="Arial"/>
                <w:color w:val="1A1A1A"/>
                <w:sz w:val="19"/>
                <w:szCs w:val="19"/>
              </w:rPr>
              <w:t xml:space="preserve">This document provides a thorough research assessment of the Amadeus API and GDS (Global Distribution System) ecosystem as it relates to building a feature-rich travel agency platform. Each feature proposed — across flight search, ancillaries, booking management, PNR tracking, hold management, refunds, and pricing — has been individually verified against both Amadeus API access tiers.</w:t>
            </w:r>
          </w:p>
          <w:p>
            <w:pPr>
              <w:spacing w:before="40" w:after="40"/>
            </w:pPr>
            <w:r>
              <w:rPr>
                <w:rFonts w:ascii="Arial" w:cs="Arial" w:eastAsia="Arial" w:hAnsi="Arial"/>
                <w:color w:val="1A1A1A"/>
                <w:sz w:val="19"/>
                <w:szCs w:val="19"/>
              </w:rPr>
              <w:t xml:space="preserve"/>
            </w:r>
          </w:p>
          <w:p>
            <w:pPr>
              <w:spacing w:before="40" w:after="40"/>
            </w:pPr>
            <w:r>
              <w:rPr>
                <w:rFonts w:ascii="Arial" w:cs="Arial" w:eastAsia="Arial" w:hAnsi="Arial"/>
                <w:color w:val="1A1A1A"/>
                <w:sz w:val="19"/>
                <w:szCs w:val="19"/>
              </w:rPr>
              <w:t xml:space="preserve">A critical enhancement in this version: every feature table now shows availability across BOTH tiers side-by-side — Self-Service (✔/⚠/✖) and Enterprise (✔/⚠/✖) — so you can see exactly which features unlock when you upgrade, and which require platform-level development regardless of tier.</w:t>
            </w:r>
          </w:p>
          <w:p>
            <w:pPr>
              <w:spacing w:before="40" w:after="40"/>
            </w:pPr>
            <w:r>
              <w:rPr>
                <w:rFonts w:ascii="Arial" w:cs="Arial" w:eastAsia="Arial" w:hAnsi="Arial"/>
                <w:color w:val="1A1A1A"/>
                <w:sz w:val="19"/>
                <w:szCs w:val="19"/>
              </w:rPr>
              <w:t xml:space="preserve"/>
            </w:r>
          </w:p>
          <w:p>
            <w:pPr>
              <w:spacing w:before="40" w:after="40"/>
            </w:pPr>
            <w:r>
              <w:rPr>
                <w:rFonts w:ascii="Arial" w:cs="Arial" w:eastAsia="Arial" w:hAnsi="Arial"/>
                <w:color w:val="1A1A1A"/>
                <w:sz w:val="19"/>
                <w:szCs w:val="19"/>
              </w:rPr>
              <w:t xml:space="preserve">Self-Service APIs: Available to all registered developers. Free to start, 30+ REST APIs, public GDS fares, instant access.</w:t>
            </w:r>
          </w:p>
          <w:p>
            <w:pPr>
              <w:spacing w:before="40" w:after="40"/>
            </w:pPr>
            <w:r>
              <w:rPr>
                <w:rFonts w:ascii="Arial" w:cs="Arial" w:eastAsia="Arial" w:hAnsi="Arial"/>
                <w:color w:val="1A1A1A"/>
                <w:sz w:val="19"/>
                <w:szCs w:val="19"/>
              </w:rPr>
              <w:t xml:space="preserve">Enterprise APIs: Requires IATA accreditation or consolidator partnership. Unlocks NDC content, negotiated fares, all airlines (LCCs, AA, Delta, BA), full post-booking servicing, and GDS segment incentives.</w:t>
            </w:r>
          </w:p>
        </w:tc>
      </w:tr>
    </w:tbl>
    <w:p>
      <w:pPr>
        <w:spacing w:before="0" w:after="0"/>
      </w:pPr>
      <w:r>
        <w:rPr>
          <w:sz w:val="12"/>
          <w:szCs w:val="12"/>
        </w:rPr>
        <w:t xml:space="preserve"/>
      </w:r>
    </w:p>
    <w:p>
      <w:pPr>
        <w:spacing w:before="60" w:after="60"/>
      </w:pPr>
      <w:r>
        <w:rPr>
          <w:rFonts w:ascii="Arial" w:cs="Arial" w:eastAsia="Arial" w:hAnsi="Arial"/>
          <w:color w:val="1A1A1A"/>
          <w:sz w:val="20"/>
          <w:szCs w:val="20"/>
        </w:rPr>
        <w:t xml:space="preserve">Status Legend — used in all tables throughout this document:</w:t>
      </w:r>
    </w:p>
    <w:p>
      <w:pPr>
        <w:spacing w:before="0" w:after="0"/>
      </w:pPr>
      <w:r>
        <w:rPr>
          <w:sz w:val="12"/>
          <w:szCs w:val="12"/>
        </w:rPr>
        <w:t xml:space="preserve"/>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325"/>
        <w:gridCol w:w="2325"/>
        <w:gridCol w:w="2325"/>
        <w:gridCol w:w="2778"/>
      </w:tblGrid>
      <w:tr>
        <w:tc>
          <w:tcPr>
            <w:tcW w:type="dxa" w:w="2325"/>
            <w:tcBorders>
              <w:top w:val="none" w:color="FFFFFF" w:sz="0"/>
              <w:left w:val="none" w:color="FFFFFF" w:sz="0"/>
              <w:bottom w:val="none" w:color="FFFFFF" w:sz="0"/>
              <w:right w:val="none" w:color="FFFFFF" w:sz="0"/>
            </w:tcBorders>
            <w:shd w:fill="D6F0E2" w:val="clear"/>
            <w:tcMar>
              <w:top w:type="dxa" w:w="80"/>
              <w:left w:type="dxa" w:w="100"/>
              <w:bottom w:type="dxa" w:w="80"/>
              <w:right w:type="dxa" w:w="100"/>
            </w:tcMar>
          </w:tcPr>
          <w:p>
            <w:pPr>
              <w:jc w:val="center"/>
            </w:pPr>
            <w:r>
              <w:rPr>
                <w:rFonts w:ascii="Arial" w:cs="Arial" w:eastAsia="Arial" w:hAnsi="Arial"/>
                <w:b/>
                <w:bCs/>
                <w:color w:val="1E7E4E"/>
                <w:sz w:val="18"/>
                <w:szCs w:val="18"/>
              </w:rPr>
              <w:t xml:space="preserve">✔ Yes</w:t>
            </w:r>
          </w:p>
          <w:p>
            <w:pPr>
              <w:jc w:val="center"/>
            </w:pPr>
            <w:r>
              <w:rPr>
                <w:rFonts w:ascii="Arial" w:cs="Arial" w:eastAsia="Arial" w:hAnsi="Arial"/>
                <w:color w:val="1A1A1A"/>
                <w:sz w:val="15"/>
                <w:szCs w:val="15"/>
              </w:rPr>
              <w:t xml:space="preserve">Fully supported at this tier</w:t>
            </w:r>
          </w:p>
        </w:tc>
        <w:tc>
          <w:tcPr>
            <w:tcW w:type="dxa" w:w="2325"/>
            <w:tcBorders>
              <w:top w:val="none" w:color="FFFFFF" w:sz="0"/>
              <w:left w:val="none" w:color="FFFFFF" w:sz="0"/>
              <w:bottom w:val="none" w:color="FFFFFF" w:sz="0"/>
              <w:right w:val="none" w:color="FFFFFF" w:sz="0"/>
            </w:tcBorders>
            <w:shd w:fill="FDE8D4" w:val="clear"/>
            <w:tcMar>
              <w:top w:type="dxa" w:w="80"/>
              <w:left w:type="dxa" w:w="100"/>
              <w:bottom w:type="dxa" w:w="80"/>
              <w:right w:type="dxa" w:w="100"/>
            </w:tcMar>
          </w:tcPr>
          <w:p>
            <w:pPr>
              <w:jc w:val="center"/>
            </w:pPr>
            <w:r>
              <w:rPr>
                <w:rFonts w:ascii="Arial" w:cs="Arial" w:eastAsia="Arial" w:hAnsi="Arial"/>
                <w:b/>
                <w:bCs/>
                <w:color w:val="C0580A"/>
                <w:sz w:val="18"/>
                <w:szCs w:val="18"/>
              </w:rPr>
              <w:t xml:space="preserve">⚠ Partial</w:t>
            </w:r>
          </w:p>
          <w:p>
            <w:pPr>
              <w:jc w:val="center"/>
            </w:pPr>
            <w:r>
              <w:rPr>
                <w:rFonts w:ascii="Arial" w:cs="Arial" w:eastAsia="Arial" w:hAnsi="Arial"/>
                <w:color w:val="1A1A1A"/>
                <w:sz w:val="15"/>
                <w:szCs w:val="15"/>
              </w:rPr>
              <w:t xml:space="preserve">Partially supported / airline-dependent / conditional</w:t>
            </w:r>
          </w:p>
        </w:tc>
        <w:tc>
          <w:tcPr>
            <w:tcW w:type="dxa" w:w="2325"/>
            <w:tcBorders>
              <w:top w:val="none" w:color="FFFFFF" w:sz="0"/>
              <w:left w:val="none" w:color="FFFFFF" w:sz="0"/>
              <w:bottom w:val="none" w:color="FFFFFF" w:sz="0"/>
              <w:right w:val="none" w:color="FFFFFF" w:sz="0"/>
            </w:tcBorders>
            <w:shd w:fill="FAD7D7" w:val="clear"/>
            <w:tcMar>
              <w:top w:type="dxa" w:w="80"/>
              <w:left w:type="dxa" w:w="100"/>
              <w:bottom w:type="dxa" w:w="80"/>
              <w:right w:type="dxa" w:w="100"/>
            </w:tcMar>
          </w:tcPr>
          <w:p>
            <w:pPr>
              <w:jc w:val="center"/>
            </w:pPr>
            <w:r>
              <w:rPr>
                <w:rFonts w:ascii="Arial" w:cs="Arial" w:eastAsia="Arial" w:hAnsi="Arial"/>
                <w:b/>
                <w:bCs/>
                <w:color w:val="A52020"/>
                <w:sz w:val="18"/>
                <w:szCs w:val="18"/>
              </w:rPr>
              <w:t xml:space="preserve">✖ No</w:t>
            </w:r>
          </w:p>
          <w:p>
            <w:pPr>
              <w:jc w:val="center"/>
            </w:pPr>
            <w:r>
              <w:rPr>
                <w:rFonts w:ascii="Arial" w:cs="Arial" w:eastAsia="Arial" w:hAnsi="Arial"/>
                <w:color w:val="1A1A1A"/>
                <w:sz w:val="15"/>
                <w:szCs w:val="15"/>
              </w:rPr>
              <w:t xml:space="preserve">Not available at this tier</w:t>
            </w:r>
          </w:p>
        </w:tc>
        <w:tc>
          <w:tcPr>
            <w:tcW w:type="dxa" w:w="2325"/>
            <w:tcBorders>
              <w:top w:val="none" w:color="FFFFFF" w:sz="0"/>
              <w:left w:val="none" w:color="FFFFFF" w:sz="0"/>
              <w:bottom w:val="none" w:color="FFFFFF" w:sz="0"/>
              <w:right w:val="none" w:color="FFFFFF" w:sz="0"/>
            </w:tcBorders>
            <w:shd w:fill="D6E4F0" w:val="clear"/>
            <w:tcMar>
              <w:top w:type="dxa" w:w="80"/>
              <w:left w:type="dxa" w:w="100"/>
              <w:bottom w:type="dxa" w:w="80"/>
              <w:right w:type="dxa" w:w="100"/>
            </w:tcMar>
          </w:tcPr>
          <w:p>
            <w:pPr>
              <w:jc w:val="center"/>
            </w:pPr>
            <w:r>
              <w:rPr>
                <w:rFonts w:ascii="Arial" w:cs="Arial" w:eastAsia="Arial" w:hAnsi="Arial"/>
                <w:b/>
                <w:bCs/>
                <w:color w:val="2E6DA4"/>
                <w:sz w:val="18"/>
                <w:szCs w:val="18"/>
              </w:rPr>
              <w:t xml:space="preserve">✔ Platform</w:t>
            </w:r>
          </w:p>
          <w:p>
            <w:pPr>
              <w:jc w:val="center"/>
            </w:pPr>
            <w:r>
              <w:rPr>
                <w:rFonts w:ascii="Arial" w:cs="Arial" w:eastAsia="Arial" w:hAnsi="Arial"/>
                <w:color w:val="1A1A1A"/>
                <w:sz w:val="15"/>
                <w:szCs w:val="15"/>
              </w:rPr>
              <w:t xml:space="preserve">Feature must be built by your platform (not Amadeus)</w:t>
            </w:r>
          </w:p>
        </w:tc>
      </w:tr>
    </w:tbl>
    <w:p>
      <w:pPr>
        <w:spacing w:before="0" w:after="0"/>
      </w:pPr>
      <w:r>
        <w:rPr>
          <w:sz w:val="24"/>
          <w:szCs w:val="24"/>
        </w:rPr>
        <w:t xml:space="preserve"/>
      </w:r>
    </w:p>
    <w:p>
      <w:pPr>
        <w:pStyle w:val="Heading1"/>
        <w:pBdr>
          <w:bottom w:val="single" w:color="2E6DA4" w:sz="4" w:space="6"/>
        </w:pBdr>
        <w:spacing w:before="400" w:after="160"/>
      </w:pPr>
      <w:r>
        <w:rPr>
          <w:rFonts w:ascii="Arial" w:cs="Arial" w:eastAsia="Arial" w:hAnsi="Arial"/>
          <w:b/>
          <w:bCs/>
          <w:color w:val="1A3C6B"/>
          <w:sz w:val="28"/>
          <w:szCs w:val="28"/>
        </w:rPr>
        <w:t xml:space="preserve">1. Flight Search Capabilities</w:t>
      </w:r>
    </w:p>
    <w:p>
      <w:pPr>
        <w:pStyle w:val="Heading2"/>
        <w:spacing w:before="280" w:after="100"/>
      </w:pPr>
      <w:r>
        <w:rPr>
          <w:rFonts w:ascii="Arial" w:cs="Arial" w:eastAsia="Arial" w:hAnsi="Arial"/>
          <w:b/>
          <w:bCs/>
          <w:color w:val="2E6DA4"/>
          <w:sz w:val="24"/>
          <w:szCs w:val="24"/>
        </w:rPr>
        <w:t xml:space="preserve">1.1 Search Types: One-Way, Return &amp; Multi-City</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268"/>
        <w:gridCol w:w="2155"/>
        <w:gridCol w:w="1247"/>
        <w:gridCol w:w="1247"/>
        <w:gridCol w:w="2835"/>
      </w:tblGrid>
      <w:tr>
        <w:trPr>
          <w:tblHeader/>
        </w:trPr>
        <w:tc>
          <w:tcPr>
            <w:tcW w:type="dxa" w:w="2268"/>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Feature / Capability</w:t>
            </w:r>
          </w:p>
        </w:tc>
        <w:tc>
          <w:tcPr>
            <w:tcW w:type="dxa" w:w="215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Amadeus API / Product</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Self-Service</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Enterprise</w:t>
            </w:r>
          </w:p>
        </w:tc>
        <w:tc>
          <w:tcPr>
            <w:tcW w:type="dxa" w:w="283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Notes &amp; Details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One-Way Flight Search</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Flight Offers Search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Single-origin, single-destination. Up to 250 offers returned.</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Return / Round-Trip</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Flight Offers Search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Outbound + return date in one request. Fully bookable itinerary returned.</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Multi-City Search</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Flight Offers Search API (POST)</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Up to 6 origin-destination pairs in one POST request.</w:t>
            </w:r>
          </w:p>
        </w:tc>
      </w:tr>
    </w:tbl>
    <w:p>
      <w:pPr>
        <w:spacing w:before="0" w:after="0"/>
      </w:pPr>
      <w:r>
        <w:rPr>
          <w:sz w:val="12"/>
          <w:szCs w:val="12"/>
        </w:rPr>
        <w:t xml:space="preserve"/>
      </w:r>
    </w:p>
    <w:p>
      <w:pPr>
        <w:spacing w:before="60" w:after="60"/>
      </w:pPr>
      <w:r>
        <w:rPr>
          <w:rFonts w:ascii="Arial" w:cs="Arial" w:eastAsia="Arial" w:hAnsi="Arial"/>
          <w:color w:val="1A1A1A"/>
          <w:sz w:val="20"/>
          <w:szCs w:val="20"/>
        </w:rPr>
        <w:t xml:space="preserve">Enterprise additionally enables multi-city itineraries with NDC-sourced legs — combining GDS and NDC flights in a single booking, which Self-Service cannot do.</w:t>
      </w:r>
    </w:p>
    <w:p>
      <w:pPr>
        <w:spacing w:before="0" w:after="0"/>
      </w:pPr>
      <w:r>
        <w:rPr>
          <w:sz w:val="24"/>
          <w:szCs w:val="24"/>
        </w:rPr>
        <w:t xml:space="preserve"/>
      </w:r>
    </w:p>
    <w:p>
      <w:pPr>
        <w:pStyle w:val="Heading2"/>
        <w:spacing w:before="280" w:after="100"/>
      </w:pPr>
      <w:r>
        <w:rPr>
          <w:rFonts w:ascii="Arial" w:cs="Arial" w:eastAsia="Arial" w:hAnsi="Arial"/>
          <w:b/>
          <w:bCs/>
          <w:color w:val="2E6DA4"/>
          <w:sz w:val="24"/>
          <w:szCs w:val="24"/>
        </w:rPr>
        <w:t xml:space="preserve">1.2 Search Filters</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268"/>
        <w:gridCol w:w="2155"/>
        <w:gridCol w:w="1247"/>
        <w:gridCol w:w="1247"/>
        <w:gridCol w:w="2835"/>
      </w:tblGrid>
      <w:tr>
        <w:trPr>
          <w:tblHeader/>
        </w:trPr>
        <w:tc>
          <w:tcPr>
            <w:tcW w:type="dxa" w:w="2268"/>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Feature / Capability</w:t>
            </w:r>
          </w:p>
        </w:tc>
        <w:tc>
          <w:tcPr>
            <w:tcW w:type="dxa" w:w="215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Amadeus API / Product</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Self-Service</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Enterprise</w:t>
            </w:r>
          </w:p>
        </w:tc>
        <w:tc>
          <w:tcPr>
            <w:tcW w:type="dxa" w:w="283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Notes &amp; Details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Departure Time Filter</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Flight Offers Search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departureDateTime filter on each origin-destination.</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Arrival Time Filter</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Flight Offers Search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arrivalDateTime filter supported.</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Airline Filter (Include/Exclude)</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Flight Offers Search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includedAirlineCodes &amp; excludedAirlineCodes parameters.</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Layover Airport Filter</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Flight Offers Search API</w:t>
            </w:r>
          </w:p>
        </w:tc>
        <w:tc>
          <w:tcPr>
            <w:tcW w:type="dxa" w:w="1247"/>
            <w:tcBorders>
              <w:top w:val="single" w:color="C8D6E5" w:sz="1"/>
              <w:left w:val="single" w:color="C8D6E5" w:sz="1"/>
              <w:bottom w:val="single" w:color="C8D6E5" w:sz="1"/>
              <w:right w:val="single" w:color="C8D6E5" w:sz="1"/>
            </w:tcBorders>
            <w:shd w:fill="FDE8D4" w:val="clear"/>
            <w:tcMar>
              <w:top w:type="dxa" w:w="80"/>
              <w:left w:type="dxa" w:w="60"/>
              <w:bottom w:type="dxa" w:w="80"/>
              <w:right w:type="dxa" w:w="60"/>
            </w:tcMar>
            <w:vAlign w:val="center"/>
          </w:tcPr>
          <w:p>
            <w:pPr>
              <w:jc w:val="center"/>
            </w:pPr>
            <w:r>
              <w:rPr>
                <w:rFonts w:ascii="Arial" w:cs="Arial" w:eastAsia="Arial" w:hAnsi="Arial"/>
                <w:b/>
                <w:bCs/>
                <w:color w:val="C0580A"/>
                <w:sz w:val="15"/>
                <w:szCs w:val="15"/>
              </w:rPr>
              <w:t xml:space="preserve">⚠ Partial</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Full</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SS: Exclude airports only (excludedViaStops). Specific layover include = client-side filter. | ENT: Full GDS scripting for specific connection airport rules.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Number of Stops</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Flight Offers Search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nonStop: true or max 1/2 stops. Direct control.</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Journey Duration (Total)</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Flight Offers Search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Duration returned per itinerary; client-side filter or maxFlightTime param.</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Cabin Class</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Flight Offers Search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Economy, Premium Economy, Business, First. Per-segment cabin possible.</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Flexible / Range Dates</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Flight Cheapest Date Search + Flight Offers Search</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Cheapest Date API shows lowest fare per date in a range. Calendar view possible.</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Max Price Cap</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Flight Offers Search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maxPrice param; currency selectable via currencyCode.</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Alliance Filter</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Flight Offers Search API</w:t>
            </w:r>
          </w:p>
        </w:tc>
        <w:tc>
          <w:tcPr>
            <w:tcW w:type="dxa" w:w="1247"/>
            <w:tcBorders>
              <w:top w:val="single" w:color="C8D6E5" w:sz="1"/>
              <w:left w:val="single" w:color="C8D6E5" w:sz="1"/>
              <w:bottom w:val="single" w:color="C8D6E5" w:sz="1"/>
              <w:right w:val="single" w:color="C8D6E5" w:sz="1"/>
            </w:tcBorders>
            <w:shd w:fill="FDE8D4" w:val="clear"/>
            <w:tcMar>
              <w:top w:type="dxa" w:w="80"/>
              <w:left w:type="dxa" w:w="60"/>
              <w:bottom w:type="dxa" w:w="80"/>
              <w:right w:type="dxa" w:w="60"/>
            </w:tcMar>
            <w:vAlign w:val="center"/>
          </w:tcPr>
          <w:p>
            <w:pPr>
              <w:jc w:val="center"/>
            </w:pPr>
            <w:r>
              <w:rPr>
                <w:rFonts w:ascii="Arial" w:cs="Arial" w:eastAsia="Arial" w:hAnsi="Arial"/>
                <w:b/>
                <w:bCs/>
                <w:color w:val="C0580A"/>
                <w:sz w:val="15"/>
                <w:szCs w:val="15"/>
              </w:rPr>
              <w:t xml:space="preserve">⚠ Partial</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Full</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SS: Not natively. Client-side filter by carrier code. | ENT: GDS native alliance grouping supported.</w:t>
            </w:r>
          </w:p>
        </w:tc>
      </w:tr>
    </w:tbl>
    <w:p>
      <w:pPr>
        <w:spacing w:before="0" w:after="0"/>
      </w:pPr>
      <w:r>
        <w:rPr>
          <w:sz w:val="24"/>
          <w:szCs w:val="24"/>
        </w:rPr>
        <w:t xml:space="preserve"/>
      </w:r>
    </w:p>
    <w:p>
      <w:pPr>
        <w:pStyle w:val="Heading1"/>
        <w:pBdr>
          <w:bottom w:val="single" w:color="2E6DA4" w:sz="4" w:space="6"/>
        </w:pBdr>
        <w:spacing w:before="400" w:after="160"/>
      </w:pPr>
      <w:r>
        <w:rPr>
          <w:rFonts w:ascii="Arial" w:cs="Arial" w:eastAsia="Arial" w:hAnsi="Arial"/>
          <w:b/>
          <w:bCs/>
          <w:color w:val="1A3C6B"/>
          <w:sz w:val="28"/>
          <w:szCs w:val="28"/>
        </w:rPr>
        <w:t xml:space="preserve">2. Airfare Intelligence &amp; Fare Transparency</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268"/>
        <w:gridCol w:w="2155"/>
        <w:gridCol w:w="1247"/>
        <w:gridCol w:w="1247"/>
        <w:gridCol w:w="2835"/>
      </w:tblGrid>
      <w:tr>
        <w:trPr>
          <w:tblHeader/>
        </w:trPr>
        <w:tc>
          <w:tcPr>
            <w:tcW w:type="dxa" w:w="2268"/>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Feature / Capability</w:t>
            </w:r>
          </w:p>
        </w:tc>
        <w:tc>
          <w:tcPr>
            <w:tcW w:type="dxa" w:w="215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Amadeus API / Product</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Self-Service</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Enterprise</w:t>
            </w:r>
          </w:p>
        </w:tc>
        <w:tc>
          <w:tcPr>
            <w:tcW w:type="dxa" w:w="283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Notes &amp; Details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Airfare Trend / Price History</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Flight Price Analysis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Shows if current price is LOW / MEDIUM / HIGH vs historical range.</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Cheapest Destinations (Inspiration)</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Flight Inspiration Search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Top destinations from a given origin by price. Great for homepage widgets.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Cheapest Dates Calendar</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Flight Cheapest Date Search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Lowest fare per departure date for a route. Powers flexible date calendars.</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Branded Fares / Fare Families</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Branded Fares Upsell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100+ airlines. Compare e.g. Economy Lite vs Economy Flex bundles side by side.</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Real-Time Flight Search Results</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Flight Offers Search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Live pricing from 500+ GDS airlines. Enterprise adds NDC + LCC + full airline coverage.</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Fare Rules (Penalties, Validity)</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Flight Offers Price API</w:t>
            </w:r>
          </w:p>
        </w:tc>
        <w:tc>
          <w:tcPr>
            <w:tcW w:type="dxa" w:w="1247"/>
            <w:tcBorders>
              <w:top w:val="single" w:color="C8D6E5" w:sz="1"/>
              <w:left w:val="single" w:color="C8D6E5" w:sz="1"/>
              <w:bottom w:val="single" w:color="C8D6E5" w:sz="1"/>
              <w:right w:val="single" w:color="C8D6E5" w:sz="1"/>
            </w:tcBorders>
            <w:shd w:fill="FDE8D4" w:val="clear"/>
            <w:tcMar>
              <w:top w:type="dxa" w:w="80"/>
              <w:left w:type="dxa" w:w="60"/>
              <w:bottom w:type="dxa" w:w="80"/>
              <w:right w:type="dxa" w:w="60"/>
            </w:tcMar>
            <w:vAlign w:val="center"/>
          </w:tcPr>
          <w:p>
            <w:pPr>
              <w:jc w:val="center"/>
            </w:pPr>
            <w:r>
              <w:rPr>
                <w:rFonts w:ascii="Arial" w:cs="Arial" w:eastAsia="Arial" w:hAnsi="Arial"/>
                <w:b/>
                <w:bCs/>
                <w:color w:val="C0580A"/>
                <w:sz w:val="15"/>
                <w:szCs w:val="15"/>
              </w:rPr>
              <w:t xml:space="preserve">⚠ Partial</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Full</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SS: Raw ATPCO text format only. | ENT: Structured, machine-readable Category 16/31/33 fare rules.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CO2 Emissions per Flight</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Flight Offers Price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Eco scores available since Jan 2024 update. Per-passenger, per-segment data.</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AI Price Recommendation</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Flight Choice Prediction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Returns choiceProbability score per offer. Helps surface best-value flights.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Most Booked Destinations</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Flight Most Booked Destinations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Trending booking data from origin. Useful for marketing and destination widgets.</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Most Traveled Destinations</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Flight Most Traveled Destinations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Actual travel volume data, not just bookings. Different from Most Booked.</w:t>
            </w:r>
          </w:p>
        </w:tc>
      </w:tr>
    </w:tbl>
    <w:p>
      <w:pPr>
        <w:spacing w:before="0" w:after="0"/>
      </w:pPr>
      <w:r>
        <w:rPr>
          <w:sz w:val="12"/>
          <w:szCs w:val="12"/>
        </w:rPr>
        <w:t xml:space="preserve"/>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9752"/>
      </w:tblGrid>
      <w:tr>
        <w:tc>
          <w:tcPr>
            <w:tcW w:type="dxa" w:w="9752"/>
            <w:tcBorders>
              <w:top w:val="none" w:color="FFFFFF" w:sz="0"/>
              <w:left w:val="none" w:color="FFFFFF" w:sz="0"/>
              <w:bottom w:val="none" w:color="FFFFFF" w:sz="0"/>
              <w:right w:val="none" w:color="FFFFFF" w:sz="0"/>
            </w:tcBorders>
            <w:shd w:fill="FDE8D4" w:val="clear"/>
            <w:tcMar>
              <w:top w:type="dxa" w:w="160"/>
              <w:left w:type="dxa" w:w="200"/>
              <w:bottom w:type="dxa" w:w="160"/>
              <w:right w:type="dxa" w:w="200"/>
            </w:tcMar>
          </w:tcPr>
          <w:p>
            <w:pPr>
              <w:spacing w:before="0" w:after="80"/>
            </w:pPr>
            <w:r>
              <w:rPr>
                <w:rFonts w:ascii="Arial" w:cs="Arial" w:eastAsia="Arial" w:hAnsi="Arial"/>
                <w:b/>
                <w:bCs/>
                <w:color w:val="C0580A"/>
                <w:sz w:val="22"/>
                <w:szCs w:val="22"/>
              </w:rPr>
              <w:t xml:space="preserve">Important: Airline Content Scope Difference Between Tiers</w:t>
            </w:r>
          </w:p>
          <w:p>
            <w:pPr>
              <w:spacing w:before="40" w:after="40"/>
            </w:pPr>
            <w:r>
              <w:rPr>
                <w:rFonts w:ascii="Arial" w:cs="Arial" w:eastAsia="Arial" w:hAnsi="Arial"/>
                <w:color w:val="1A1A1A"/>
                <w:sz w:val="19"/>
                <w:szCs w:val="19"/>
              </w:rPr>
              <w:t xml:space="preserve">SELF-SERVICE: ~400 airlines via GDS. Excludes American Airlines, Delta, British Airways, and most LCCs (IndiGo, SpiceJet, AirAsia, etc.). Only public/published fares.</w:t>
            </w:r>
          </w:p>
          <w:p>
            <w:pPr>
              <w:spacing w:before="40" w:after="40"/>
            </w:pPr>
            <w:r>
              <w:rPr>
                <w:rFonts w:ascii="Arial" w:cs="Arial" w:eastAsia="Arial" w:hAnsi="Arial"/>
                <w:color w:val="1A1A1A"/>
                <w:sz w:val="19"/>
                <w:szCs w:val="19"/>
              </w:rPr>
              <w:t xml:space="preserve">ENTERPRISE: Full coverage — 900+ airlines, 35+ NDC airlines with direct content, all major LCCs, American Airlines, Delta, British Airways. Private, negotiated, and net fares available.</w:t>
            </w:r>
          </w:p>
          <w:p>
            <w:pPr>
              <w:spacing w:before="40" w:after="40"/>
            </w:pPr>
            <w:r>
              <w:rPr>
                <w:rFonts w:ascii="Arial" w:cs="Arial" w:eastAsia="Arial" w:hAnsi="Arial"/>
                <w:color w:val="1A1A1A"/>
                <w:sz w:val="19"/>
                <w:szCs w:val="19"/>
              </w:rPr>
              <w:t xml:space="preserve">India-specific: IndiGo, SpiceJet, Air India Express primarily distribute via NDC or direct channels. Enterprise tier is required for complete Indian market coverage.</w:t>
            </w:r>
          </w:p>
        </w:tc>
      </w:tr>
    </w:tbl>
    <w:p>
      <w:pPr>
        <w:spacing w:before="0" w:after="0"/>
      </w:pPr>
      <w:r>
        <w:rPr>
          <w:sz w:val="24"/>
          <w:szCs w:val="24"/>
        </w:rPr>
        <w:t xml:space="preserve"/>
      </w:r>
    </w:p>
    <w:p>
      <w:r>
        <w:br w:type="page"/>
      </w:r>
    </w:p>
    <w:p>
      <w:pPr>
        <w:pStyle w:val="Heading1"/>
        <w:pBdr>
          <w:bottom w:val="single" w:color="2E6DA4" w:sz="4" w:space="6"/>
        </w:pBdr>
        <w:spacing w:before="400" w:after="160"/>
      </w:pPr>
      <w:r>
        <w:rPr>
          <w:rFonts w:ascii="Arial" w:cs="Arial" w:eastAsia="Arial" w:hAnsi="Arial"/>
          <w:b/>
          <w:bCs/>
          <w:color w:val="1A3C6B"/>
          <w:sz w:val="28"/>
          <w:szCs w:val="28"/>
        </w:rPr>
        <w:t xml:space="preserve">3. Ancillary Services — Complete Assessment</w:t>
      </w:r>
    </w:p>
    <w:p>
      <w:pPr>
        <w:pStyle w:val="Heading2"/>
        <w:spacing w:before="280" w:after="100"/>
      </w:pPr>
      <w:r>
        <w:rPr>
          <w:rFonts w:ascii="Arial" w:cs="Arial" w:eastAsia="Arial" w:hAnsi="Arial"/>
          <w:b/>
          <w:bCs/>
          <w:color w:val="2E6DA4"/>
          <w:sz w:val="24"/>
          <w:szCs w:val="24"/>
        </w:rPr>
        <w:t xml:space="preserve">3.1 Individual Ancillary Availability by Tier</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268"/>
        <w:gridCol w:w="2155"/>
        <w:gridCol w:w="1247"/>
        <w:gridCol w:w="1247"/>
        <w:gridCol w:w="2835"/>
      </w:tblGrid>
      <w:tr>
        <w:trPr>
          <w:tblHeader/>
        </w:trPr>
        <w:tc>
          <w:tcPr>
            <w:tcW w:type="dxa" w:w="2268"/>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Feature / Capability</w:t>
            </w:r>
          </w:p>
        </w:tc>
        <w:tc>
          <w:tcPr>
            <w:tcW w:type="dxa" w:w="215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Amadeus API / Product</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Self-Service</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Enterprise</w:t>
            </w:r>
          </w:p>
        </w:tc>
        <w:tc>
          <w:tcPr>
            <w:tcW w:type="dxa" w:w="283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Notes &amp; Details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Extra Checked Baggage (Pre-Check-In)</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Flight Offers Price API (additionalServices)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Added as additionalServices during the pricing step. Enterprise adds EMD-based post-booking addition.</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Cabin / Hand Luggage Add-On</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N/A</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Amadeus API does not expose cabin bag add-ons via either tier. Airline website only.</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Meal Choices (SSR Codes)</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Flight Create Orders API (SSR elements)</w:t>
            </w:r>
          </w:p>
        </w:tc>
        <w:tc>
          <w:tcPr>
            <w:tcW w:type="dxa" w:w="1247"/>
            <w:tcBorders>
              <w:top w:val="single" w:color="C8D6E5" w:sz="1"/>
              <w:left w:val="single" w:color="C8D6E5" w:sz="1"/>
              <w:bottom w:val="single" w:color="C8D6E5" w:sz="1"/>
              <w:right w:val="single" w:color="C8D6E5" w:sz="1"/>
            </w:tcBorders>
            <w:shd w:fill="FDE8D4" w:val="clear"/>
            <w:tcMar>
              <w:top w:type="dxa" w:w="80"/>
              <w:left w:type="dxa" w:w="60"/>
              <w:bottom w:type="dxa" w:w="80"/>
              <w:right w:type="dxa" w:w="60"/>
            </w:tcMar>
            <w:vAlign w:val="center"/>
          </w:tcPr>
          <w:p>
            <w:pPr>
              <w:jc w:val="center"/>
            </w:pPr>
            <w:r>
              <w:rPr>
                <w:rFonts w:ascii="Arial" w:cs="Arial" w:eastAsia="Arial" w:hAnsi="Arial"/>
                <w:b/>
                <w:bCs/>
                <w:color w:val="C0580A"/>
                <w:sz w:val="15"/>
                <w:szCs w:val="15"/>
              </w:rPr>
              <w:t xml:space="preserve">⚠ Partial</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Full</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SS: Limited SSR code support. Not all airlines honour it. | ENT: Full SSR meal codes (MOML, VGML, KSML, DBML etc.) via GDS. Airline response varies.</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Priority Boarding</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NDC Ancillary Catalog (Enterprise)</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Not available Self-Service. Enterprise: NDC-enabled airlines offer priority boarding as individual ancillary via Amadeus native orders.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Seat Selection (Seat Map)</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SeatMap Display API + Flight Offers Price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Full cabin seat map with availability zones. Seat selection attached at pricing step.</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Paid Seat Upgrade (e.g., exit row)</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SeatMap Display + Pricing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Chargeable seat types returned in seat map. Selected at pricing step.</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Frequent Flyer Number</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Flight Offers Price + Create Orders APIs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Traveler loyalty account added to PNR. Airline validates per its own FFP rules.</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WiFi Onboard</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NDC Ancillary Catalog (Enterprise)</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Available via NDC for participating airlines (e.g., Finnair, Iberia). Not on Self-Service.</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Lounge Access</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NDC Ancillary Catalog (Enterprise)</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Select NDC airlines offer lounge passes as individual ancillary. Enterprise only.</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Sports / Oversized Baggage</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GDS SSR + EMD (Enterprise)</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Handled via Special Service Request (SSR SPEQ/BIKE/GOLF) and EMD post-booking. Enterprise GDS required.</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Unaccompanied Minor (UM) Service</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Flight Create Orders API (SSR UM)</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SSR UMNR code. Airline must be notified and confirm. Supported across tiers.</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Wheelchair / Medical Requests</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Flight Create Orders API (SSR WCHR etc.)</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Standard SSR codes for all disability-related assistance. Both tiers.</w:t>
            </w:r>
          </w:p>
        </w:tc>
      </w:tr>
    </w:tbl>
    <w:p>
      <w:pPr>
        <w:spacing w:before="0" w:after="0"/>
      </w:pPr>
      <w:r>
        <w:rPr>
          <w:sz w:val="24"/>
          <w:szCs w:val="24"/>
        </w:rPr>
        <w:t xml:space="preserve"/>
      </w:r>
    </w:p>
    <w:p>
      <w:pPr>
        <w:pStyle w:val="Heading2"/>
        <w:spacing w:before="280" w:after="100"/>
      </w:pPr>
      <w:r>
        <w:rPr>
          <w:rFonts w:ascii="Arial" w:cs="Arial" w:eastAsia="Arial" w:hAnsi="Arial"/>
          <w:b/>
          <w:bCs/>
          <w:color w:val="2E6DA4"/>
          <w:sz w:val="24"/>
          <w:szCs w:val="24"/>
        </w:rPr>
        <w:t xml:space="preserve">3.2 Individual vs. Bundled Ancillaries — Definitive Answer</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9752"/>
      </w:tblGrid>
      <w:tr>
        <w:tc>
          <w:tcPr>
            <w:tcW w:type="dxa" w:w="9752"/>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before="0" w:after="80"/>
            </w:pPr>
            <w:r>
              <w:rPr>
                <w:rFonts w:ascii="Arial" w:cs="Arial" w:eastAsia="Arial" w:hAnsi="Arial"/>
                <w:b/>
                <w:bCs/>
                <w:color w:val="1A3C6B"/>
                <w:sz w:val="22"/>
                <w:szCs w:val="22"/>
              </w:rPr>
              <w:t xml:space="preserve">Can Amadeus Provide Each Ancillary Independently or Only in Bundles?</w:t>
            </w:r>
          </w:p>
          <w:p>
            <w:pPr>
              <w:spacing w:before="40" w:after="40"/>
            </w:pPr>
            <w:r>
              <w:rPr>
                <w:rFonts w:ascii="Arial" w:cs="Arial" w:eastAsia="Arial" w:hAnsi="Arial"/>
                <w:color w:val="1A1A1A"/>
                <w:sz w:val="19"/>
                <w:szCs w:val="19"/>
              </w:rPr>
              <w:t xml:space="preserve">ANSWER: BOTH models are fully supported by Amadeus — but availability depends on the airline and tier.</w:t>
            </w:r>
          </w:p>
          <w:p>
            <w:pPr>
              <w:spacing w:before="40" w:after="40"/>
            </w:pPr>
            <w:r>
              <w:rPr>
                <w:rFonts w:ascii="Arial" w:cs="Arial" w:eastAsia="Arial" w:hAnsi="Arial"/>
                <w:color w:val="1A1A1A"/>
                <w:sz w:val="19"/>
                <w:szCs w:val="19"/>
              </w:rPr>
              <w:t xml:space="preserve"/>
            </w:r>
          </w:p>
          <w:p>
            <w:pPr>
              <w:spacing w:before="40" w:after="40"/>
            </w:pPr>
            <w:r>
              <w:rPr>
                <w:rFonts w:ascii="Arial" w:cs="Arial" w:eastAsia="Arial" w:hAnsi="Arial"/>
                <w:color w:val="1A1A1A"/>
                <w:sz w:val="19"/>
                <w:szCs w:val="19"/>
              </w:rPr>
              <w:t xml:space="preserve">A-LA-CARTE (Individual) Ancillaries: Amadeus was the first GDS to launch a dynamic ancillary services catalogue. Individual ancillaries — extra baggage, seat selection, meal requests — can each be purchased as separate Electronic Miscellaneous Documents (EMDs) with their own pricing, independent of each other. This is fully supported.</w:t>
            </w:r>
          </w:p>
          <w:p>
            <w:pPr>
              <w:spacing w:before="40" w:after="40"/>
            </w:pPr>
            <w:r>
              <w:rPr>
                <w:rFonts w:ascii="Arial" w:cs="Arial" w:eastAsia="Arial" w:hAnsi="Arial"/>
                <w:color w:val="1A1A1A"/>
                <w:sz w:val="19"/>
                <w:szCs w:val="19"/>
              </w:rPr>
              <w:t xml:space="preserve"/>
            </w:r>
          </w:p>
          <w:p>
            <w:pPr>
              <w:spacing w:before="40" w:after="40"/>
            </w:pPr>
            <w:r>
              <w:rPr>
                <w:rFonts w:ascii="Arial" w:cs="Arial" w:eastAsia="Arial" w:hAnsi="Arial"/>
                <w:color w:val="1A1A1A"/>
                <w:sz w:val="19"/>
                <w:szCs w:val="19"/>
              </w:rPr>
              <w:t xml:space="preserve">BUNDLED Ancillaries (Branded Fares / Fare Families): Airlines increasingly bundle ancillaries into named tiers like 'Economy Light', 'Economy Flex', 'Comfort Plus'. The Branded Fares Upsell API returns these bundles alongside base fares for comparison. Self-Service tier supports this.</w:t>
            </w:r>
          </w:p>
          <w:p>
            <w:pPr>
              <w:spacing w:before="40" w:after="40"/>
            </w:pPr>
            <w:r>
              <w:rPr>
                <w:rFonts w:ascii="Arial" w:cs="Arial" w:eastAsia="Arial" w:hAnsi="Arial"/>
                <w:color w:val="1A1A1A"/>
                <w:sz w:val="19"/>
                <w:szCs w:val="19"/>
              </w:rPr>
              <w:t xml:space="preserve"/>
            </w:r>
          </w:p>
          <w:p>
            <w:pPr>
              <w:spacing w:before="40" w:after="40"/>
            </w:pPr>
            <w:r>
              <w:rPr>
                <w:rFonts w:ascii="Arial" w:cs="Arial" w:eastAsia="Arial" w:hAnsi="Arial"/>
                <w:color w:val="1A1A1A"/>
                <w:sz w:val="19"/>
                <w:szCs w:val="19"/>
              </w:rPr>
              <w:t xml:space="preserve">NDC DYNAMIC BUNDLES (Enterprise only): NDC-enabled airlines (e.g., Finnair, Iberia, Lufthansa Group) can create personalised, dynamic bundles — e.g., seat + extra bag + priority boarding offered at a combined discount — powered by Amadeus native orders technology. This is not available on Self-Service.</w:t>
            </w:r>
          </w:p>
          <w:p>
            <w:pPr>
              <w:spacing w:before="40" w:after="40"/>
            </w:pPr>
            <w:r>
              <w:rPr>
                <w:rFonts w:ascii="Arial" w:cs="Arial" w:eastAsia="Arial" w:hAnsi="Arial"/>
                <w:color w:val="1A1A1A"/>
                <w:sz w:val="19"/>
                <w:szCs w:val="19"/>
              </w:rPr>
              <w:t xml:space="preserve"/>
            </w:r>
          </w:p>
          <w:p>
            <w:pPr>
              <w:spacing w:before="40" w:after="40"/>
            </w:pPr>
            <w:r>
              <w:rPr>
                <w:rFonts w:ascii="Arial" w:cs="Arial" w:eastAsia="Arial" w:hAnsi="Arial"/>
                <w:color w:val="1A1A1A"/>
                <w:sz w:val="19"/>
                <w:szCs w:val="19"/>
              </w:rPr>
              <w:t xml:space="preserve">RECOMMENDATION: Your platform should present both: individual ancillaries (a-la-carte) for GDS content, and branded fare bundles for NDC airlines. On Self-Service, full a-la-carte + bundles work. On Enterprise, you additionally unlock NDC dynamic offers.</w:t>
            </w:r>
          </w:p>
        </w:tc>
      </w:tr>
    </w:tbl>
    <w:p>
      <w:pPr>
        <w:spacing w:before="0" w:after="0"/>
      </w:pPr>
      <w:r>
        <w:rPr>
          <w:sz w:val="24"/>
          <w:szCs w:val="24"/>
        </w:rPr>
        <w:t xml:space="preserve"/>
      </w:r>
    </w:p>
    <w:p>
      <w:pPr>
        <w:pStyle w:val="Heading2"/>
        <w:spacing w:before="280" w:after="100"/>
      </w:pPr>
      <w:r>
        <w:rPr>
          <w:rFonts w:ascii="Arial" w:cs="Arial" w:eastAsia="Arial" w:hAnsi="Arial"/>
          <w:b/>
          <w:bCs/>
          <w:color w:val="2E6DA4"/>
          <w:sz w:val="24"/>
          <w:szCs w:val="24"/>
        </w:rPr>
        <w:t xml:space="preserve">3.3 Post-Booking Ancillary Modifications</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268"/>
        <w:gridCol w:w="2155"/>
        <w:gridCol w:w="1247"/>
        <w:gridCol w:w="1247"/>
        <w:gridCol w:w="2835"/>
      </w:tblGrid>
      <w:tr>
        <w:trPr>
          <w:tblHeader/>
        </w:trPr>
        <w:tc>
          <w:tcPr>
            <w:tcW w:type="dxa" w:w="2268"/>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Feature / Capability</w:t>
            </w:r>
          </w:p>
        </w:tc>
        <w:tc>
          <w:tcPr>
            <w:tcW w:type="dxa" w:w="215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Amadeus API / Product</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Self-Service</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Enterprise</w:t>
            </w:r>
          </w:p>
        </w:tc>
        <w:tc>
          <w:tcPr>
            <w:tcW w:type="dxa" w:w="283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Notes &amp; Details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Add Baggage After Booking</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Enterprise EMD / GDS Services</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Self-Service cannot add ancillaries post-ticketing. Enterprise: handled via EMD issuance through consolidator.</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Change Seat After Booking</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Enterprise / Consolidator</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Seat changes after ticket issuance require Enterprise-level GDS access or direct airline coordination.</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Add Meal After Booking</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Enterprise SSR Update</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SSR update via GDS queue to airline. Not available Self-Service post-ticketing.</w:t>
            </w:r>
          </w:p>
        </w:tc>
      </w:tr>
    </w:tbl>
    <w:p>
      <w:pPr>
        <w:spacing w:before="0" w:after="0"/>
      </w:pPr>
      <w:r>
        <w:rPr>
          <w:sz w:val="24"/>
          <w:szCs w:val="24"/>
        </w:rPr>
        <w:t xml:space="preserve"/>
      </w:r>
    </w:p>
    <w:p>
      <w:pPr>
        <w:pStyle w:val="Heading1"/>
        <w:pBdr>
          <w:bottom w:val="single" w:color="2E6DA4" w:sz="4" w:space="6"/>
        </w:pBdr>
        <w:spacing w:before="400" w:after="160"/>
      </w:pPr>
      <w:r>
        <w:rPr>
          <w:rFonts w:ascii="Arial" w:cs="Arial" w:eastAsia="Arial" w:hAnsi="Arial"/>
          <w:b/>
          <w:bCs/>
          <w:color w:val="1A3C6B"/>
          <w:sz w:val="28"/>
          <w:szCs w:val="28"/>
        </w:rPr>
        <w:t xml:space="preserve">4. Booking Process — Step-by-Step via Amadeus</w:t>
      </w:r>
    </w:p>
    <w:p>
      <w:pPr>
        <w:spacing w:before="60" w:after="60"/>
      </w:pPr>
      <w:r>
        <w:rPr>
          <w:rFonts w:ascii="Arial" w:cs="Arial" w:eastAsia="Arial" w:hAnsi="Arial"/>
          <w:color w:val="1A1A1A"/>
          <w:sz w:val="20"/>
          <w:szCs w:val="20"/>
        </w:rPr>
        <w:t xml:space="preserve">The Amadeus booking flow is a mandatory sequential API chain. Each step must be completed in order. Both tiers follow the same chain — the difference is that Enterprise replaces the consolidator for ticketing with direct BSP issuance.</w:t>
      </w:r>
    </w:p>
    <w:p>
      <w:pPr>
        <w:spacing w:before="0" w:after="0"/>
      </w:pPr>
      <w:r>
        <w:rPr>
          <w:sz w:val="12"/>
          <w:szCs w:val="12"/>
        </w:rPr>
        <w:t xml:space="preserve"/>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510"/>
        <w:gridCol w:w="1985"/>
        <w:gridCol w:w="2948"/>
        <w:gridCol w:w="2268"/>
        <w:gridCol w:w="2041"/>
      </w:tblGrid>
      <w:tr>
        <w:trPr>
          <w:tblHeader/>
        </w:trPr>
        <w:tc>
          <w:tcPr>
            <w:tcW w:type="dxa" w:w="510"/>
            <w:tcBorders>
              <w:top w:val="single" w:color="C8D6E5" w:sz="1"/>
              <w:left w:val="single" w:color="C8D6E5" w:sz="1"/>
              <w:bottom w:val="single" w:color="C8D6E5" w:sz="1"/>
              <w:right w:val="single" w:color="C8D6E5" w:sz="1"/>
            </w:tcBorders>
            <w:shd w:fill="1A3C6B" w:val="clear"/>
            <w:tcMar>
              <w:top w:type="dxa" w:w="80"/>
              <w:left w:type="dxa" w:w="90"/>
              <w:bottom w:type="dxa" w:w="80"/>
              <w:right w:type="dxa" w:w="90"/>
            </w:tcMar>
          </w:tcPr>
          <w:p>
            <w:r>
              <w:rPr>
                <w:rFonts w:ascii="Arial" w:cs="Arial" w:eastAsia="Arial" w:hAnsi="Arial"/>
                <w:b/>
                <w:bCs/>
                <w:color w:val="FFFFFF"/>
                <w:sz w:val="17"/>
                <w:szCs w:val="17"/>
              </w:rPr>
              <w:t xml:space="preserve">Step</w:t>
            </w:r>
          </w:p>
        </w:tc>
        <w:tc>
          <w:tcPr>
            <w:tcW w:type="dxa" w:w="1985"/>
            <w:tcBorders>
              <w:top w:val="single" w:color="C8D6E5" w:sz="1"/>
              <w:left w:val="single" w:color="C8D6E5" w:sz="1"/>
              <w:bottom w:val="single" w:color="C8D6E5" w:sz="1"/>
              <w:right w:val="single" w:color="C8D6E5" w:sz="1"/>
            </w:tcBorders>
            <w:shd w:fill="1A3C6B" w:val="clear"/>
            <w:tcMar>
              <w:top w:type="dxa" w:w="80"/>
              <w:left w:type="dxa" w:w="90"/>
              <w:bottom w:type="dxa" w:w="80"/>
              <w:right w:type="dxa" w:w="90"/>
            </w:tcMar>
          </w:tcPr>
          <w:p>
            <w:r>
              <w:rPr>
                <w:rFonts w:ascii="Arial" w:cs="Arial" w:eastAsia="Arial" w:hAnsi="Arial"/>
                <w:b/>
                <w:bCs/>
                <w:color w:val="FFFFFF"/>
                <w:sz w:val="17"/>
                <w:szCs w:val="17"/>
              </w:rPr>
              <w:t xml:space="preserve">API</w:t>
            </w:r>
          </w:p>
        </w:tc>
        <w:tc>
          <w:tcPr>
            <w:tcW w:type="dxa" w:w="2948"/>
            <w:tcBorders>
              <w:top w:val="single" w:color="C8D6E5" w:sz="1"/>
              <w:left w:val="single" w:color="C8D6E5" w:sz="1"/>
              <w:bottom w:val="single" w:color="C8D6E5" w:sz="1"/>
              <w:right w:val="single" w:color="C8D6E5" w:sz="1"/>
            </w:tcBorders>
            <w:shd w:fill="1A3C6B" w:val="clear"/>
            <w:tcMar>
              <w:top w:type="dxa" w:w="80"/>
              <w:left w:type="dxa" w:w="90"/>
              <w:bottom w:type="dxa" w:w="80"/>
              <w:right w:type="dxa" w:w="90"/>
            </w:tcMar>
          </w:tcPr>
          <w:p>
            <w:r>
              <w:rPr>
                <w:rFonts w:ascii="Arial" w:cs="Arial" w:eastAsia="Arial" w:hAnsi="Arial"/>
                <w:b/>
                <w:bCs/>
                <w:color w:val="FFFFFF"/>
                <w:sz w:val="17"/>
                <w:szCs w:val="17"/>
              </w:rPr>
              <w:t xml:space="preserve">Action</w:t>
            </w:r>
          </w:p>
        </w:tc>
        <w:tc>
          <w:tcPr>
            <w:tcW w:type="dxa" w:w="2268"/>
            <w:tcBorders>
              <w:top w:val="single" w:color="C8D6E5" w:sz="1"/>
              <w:left w:val="single" w:color="C8D6E5" w:sz="1"/>
              <w:bottom w:val="single" w:color="C8D6E5" w:sz="1"/>
              <w:right w:val="single" w:color="C8D6E5" w:sz="1"/>
            </w:tcBorders>
            <w:shd w:fill="1A3C6B" w:val="clear"/>
            <w:tcMar>
              <w:top w:type="dxa" w:w="80"/>
              <w:left w:type="dxa" w:w="90"/>
              <w:bottom w:type="dxa" w:w="80"/>
              <w:right w:type="dxa" w:w="90"/>
            </w:tcMar>
          </w:tcPr>
          <w:p>
            <w:r>
              <w:rPr>
                <w:rFonts w:ascii="Arial" w:cs="Arial" w:eastAsia="Arial" w:hAnsi="Arial"/>
                <w:b/>
                <w:bCs/>
                <w:color w:val="FFFFFF"/>
                <w:sz w:val="17"/>
                <w:szCs w:val="17"/>
              </w:rPr>
              <w:t xml:space="preserve">Self-Service</w:t>
            </w:r>
          </w:p>
        </w:tc>
        <w:tc>
          <w:tcPr>
            <w:tcW w:type="dxa" w:w="2041"/>
            <w:tcBorders>
              <w:top w:val="single" w:color="C8D6E5" w:sz="1"/>
              <w:left w:val="single" w:color="C8D6E5" w:sz="1"/>
              <w:bottom w:val="single" w:color="C8D6E5" w:sz="1"/>
              <w:right w:val="single" w:color="C8D6E5" w:sz="1"/>
            </w:tcBorders>
            <w:shd w:fill="1A3C6B" w:val="clear"/>
            <w:tcMar>
              <w:top w:type="dxa" w:w="80"/>
              <w:left w:type="dxa" w:w="90"/>
              <w:bottom w:type="dxa" w:w="80"/>
              <w:right w:type="dxa" w:w="90"/>
            </w:tcMar>
          </w:tcPr>
          <w:p>
            <w:r>
              <w:rPr>
                <w:rFonts w:ascii="Arial" w:cs="Arial" w:eastAsia="Arial" w:hAnsi="Arial"/>
                <w:b/>
                <w:bCs/>
                <w:color w:val="FFFFFF"/>
                <w:sz w:val="17"/>
                <w:szCs w:val="17"/>
              </w:rPr>
              <w:t xml:space="preserve">Enterprise</w:t>
            </w:r>
          </w:p>
        </w:tc>
      </w:tr>
      <w:tr>
        <w:tc>
          <w:tcPr>
            <w:tcW w:type="dxa" w:w="510"/>
            <w:tcBorders>
              <w:top w:val="single" w:color="C8D6E5" w:sz="1"/>
              <w:left w:val="single" w:color="C8D6E5" w:sz="1"/>
              <w:bottom w:val="single" w:color="C8D6E5" w:sz="1"/>
              <w:right w:val="single" w:color="C8D6E5" w:sz="1"/>
            </w:tcBorders>
            <w:shd w:fill="D6E4F0" w:val="clear"/>
            <w:tcMar>
              <w:top w:type="dxa" w:w="80"/>
              <w:left w:type="dxa" w:w="90"/>
              <w:bottom w:type="dxa" w:w="80"/>
              <w:right w:type="dxa" w:w="90"/>
            </w:tcMar>
          </w:tcPr>
          <w:p>
            <w:pPr>
              <w:jc w:val="center"/>
            </w:pPr>
            <w:r>
              <w:rPr>
                <w:rFonts w:ascii="Arial" w:cs="Arial" w:eastAsia="Arial" w:hAnsi="Arial"/>
                <w:b/>
                <w:bCs/>
                <w:color w:val="1A3C6B"/>
                <w:sz w:val="19"/>
                <w:szCs w:val="19"/>
              </w:rPr>
              <w:t xml:space="preserve">1</w:t>
            </w:r>
          </w:p>
        </w:tc>
        <w:tc>
          <w:tcPr>
            <w:tcW w:type="dxa" w:w="1985"/>
            <w:tcBorders>
              <w:top w:val="single" w:color="C8D6E5" w:sz="1"/>
              <w:left w:val="single" w:color="C8D6E5" w:sz="1"/>
              <w:bottom w:val="single" w:color="C8D6E5" w:sz="1"/>
              <w:right w:val="single" w:color="C8D6E5" w:sz="1"/>
            </w:tcBorders>
            <w:shd w:fill="D6E4F0" w:val="clear"/>
            <w:tcMar>
              <w:top w:type="dxa" w:w="80"/>
              <w:left w:type="dxa" w:w="90"/>
              <w:bottom w:type="dxa" w:w="80"/>
              <w:right w:type="dxa" w:w="90"/>
            </w:tcMar>
          </w:tcPr>
          <w:p>
            <w:r>
              <w:rPr>
                <w:rFonts w:ascii="Arial" w:cs="Arial" w:eastAsia="Arial" w:hAnsi="Arial"/>
                <w:b/>
                <w:bCs/>
                <w:color w:val="2E6DA4"/>
                <w:sz w:val="16"/>
                <w:szCs w:val="16"/>
              </w:rPr>
              <w:t xml:space="preserve">Flight Offers Search API</w:t>
            </w:r>
          </w:p>
        </w:tc>
        <w:tc>
          <w:tcPr>
            <w:tcW w:type="dxa" w:w="2948"/>
            <w:tcBorders>
              <w:top w:val="single" w:color="C8D6E5" w:sz="1"/>
              <w:left w:val="single" w:color="C8D6E5" w:sz="1"/>
              <w:bottom w:val="single" w:color="C8D6E5" w:sz="1"/>
              <w:right w:val="single" w:color="C8D6E5" w:sz="1"/>
            </w:tcBorders>
            <w:shd w:fill="D6E4F0" w:val="clear"/>
            <w:tcMar>
              <w:top w:type="dxa" w:w="80"/>
              <w:left w:type="dxa" w:w="90"/>
              <w:bottom w:type="dxa" w:w="80"/>
              <w:right w:type="dxa" w:w="90"/>
            </w:tcMar>
          </w:tcPr>
          <w:p>
            <w:r>
              <w:rPr>
                <w:rFonts w:ascii="Arial" w:cs="Arial" w:eastAsia="Arial" w:hAnsi="Arial"/>
                <w:color w:val="1A1A1A"/>
                <w:sz w:val="17"/>
                <w:szCs w:val="17"/>
              </w:rPr>
              <w:t xml:space="preserve">Search available flights with all filters</w:t>
            </w:r>
          </w:p>
        </w:tc>
        <w:tc>
          <w:tcPr>
            <w:tcW w:type="dxa" w:w="2268"/>
            <w:tcBorders>
              <w:top w:val="single" w:color="C8D6E5" w:sz="1"/>
              <w:left w:val="single" w:color="C8D6E5" w:sz="1"/>
              <w:bottom w:val="single" w:color="C8D6E5" w:sz="1"/>
              <w:right w:val="single" w:color="C8D6E5" w:sz="1"/>
            </w:tcBorders>
            <w:shd w:fill="D6F0E2" w:val="clear"/>
            <w:tcMar>
              <w:top w:type="dxa" w:w="80"/>
              <w:left w:type="dxa" w:w="90"/>
              <w:bottom w:type="dxa" w:w="80"/>
              <w:right w:type="dxa" w:w="90"/>
            </w:tcMar>
          </w:tcPr>
          <w:p>
            <w:r>
              <w:rPr>
                <w:rFonts w:ascii="Arial" w:cs="Arial" w:eastAsia="Arial" w:hAnsi="Arial"/>
                <w:color w:val="1E7E4E"/>
                <w:sz w:val="16"/>
                <w:szCs w:val="16"/>
              </w:rPr>
              <w:t xml:space="preserve">✔ Full access. 400+ airlines.</w:t>
            </w:r>
          </w:p>
        </w:tc>
        <w:tc>
          <w:tcPr>
            <w:tcW w:type="dxa" w:w="2041"/>
            <w:tcBorders>
              <w:top w:val="single" w:color="C8D6E5" w:sz="1"/>
              <w:left w:val="single" w:color="C8D6E5" w:sz="1"/>
              <w:bottom w:val="single" w:color="C8D6E5" w:sz="1"/>
              <w:right w:val="single" w:color="C8D6E5" w:sz="1"/>
            </w:tcBorders>
            <w:shd w:fill="D6F0E2" w:val="clear"/>
            <w:tcMar>
              <w:top w:type="dxa" w:w="80"/>
              <w:left w:type="dxa" w:w="90"/>
              <w:bottom w:type="dxa" w:w="80"/>
              <w:right w:type="dxa" w:w="90"/>
            </w:tcMar>
          </w:tcPr>
          <w:p>
            <w:r>
              <w:rPr>
                <w:rFonts w:ascii="Arial" w:cs="Arial" w:eastAsia="Arial" w:hAnsi="Arial"/>
                <w:color w:val="1E7E4E"/>
                <w:sz w:val="16"/>
                <w:szCs w:val="16"/>
              </w:rPr>
              <w:t xml:space="preserve">✔ Full access. 900+ airlines + LCCs + NDC.</w:t>
            </w:r>
          </w:p>
        </w:tc>
      </w:tr>
      <w:tr>
        <w:tc>
          <w:tcPr>
            <w:tcW w:type="dxa" w:w="510"/>
            <w:tcBorders>
              <w:top w:val="single" w:color="C8D6E5" w:sz="1"/>
              <w:left w:val="single" w:color="C8D6E5" w:sz="1"/>
              <w:bottom w:val="single" w:color="C8D6E5" w:sz="1"/>
              <w:right w:val="single" w:color="C8D6E5" w:sz="1"/>
            </w:tcBorders>
            <w:shd w:fill="FFFFFF" w:val="clear"/>
            <w:tcMar>
              <w:top w:type="dxa" w:w="80"/>
              <w:left w:type="dxa" w:w="90"/>
              <w:bottom w:type="dxa" w:w="80"/>
              <w:right w:type="dxa" w:w="90"/>
            </w:tcMar>
          </w:tcPr>
          <w:p>
            <w:pPr>
              <w:jc w:val="center"/>
            </w:pPr>
            <w:r>
              <w:rPr>
                <w:rFonts w:ascii="Arial" w:cs="Arial" w:eastAsia="Arial" w:hAnsi="Arial"/>
                <w:b/>
                <w:bCs/>
                <w:color w:val="1A3C6B"/>
                <w:sz w:val="19"/>
                <w:szCs w:val="19"/>
              </w:rPr>
              <w:t xml:space="preserve">2</w:t>
            </w:r>
          </w:p>
        </w:tc>
        <w:tc>
          <w:tcPr>
            <w:tcW w:type="dxa" w:w="1985"/>
            <w:tcBorders>
              <w:top w:val="single" w:color="C8D6E5" w:sz="1"/>
              <w:left w:val="single" w:color="C8D6E5" w:sz="1"/>
              <w:bottom w:val="single" w:color="C8D6E5" w:sz="1"/>
              <w:right w:val="single" w:color="C8D6E5" w:sz="1"/>
            </w:tcBorders>
            <w:shd w:fill="FFFFFF" w:val="clear"/>
            <w:tcMar>
              <w:top w:type="dxa" w:w="80"/>
              <w:left w:type="dxa" w:w="90"/>
              <w:bottom w:type="dxa" w:w="80"/>
              <w:right w:type="dxa" w:w="90"/>
            </w:tcMar>
          </w:tcPr>
          <w:p>
            <w:r>
              <w:rPr>
                <w:rFonts w:ascii="Arial" w:cs="Arial" w:eastAsia="Arial" w:hAnsi="Arial"/>
                <w:b/>
                <w:bCs/>
                <w:color w:val="2E6DA4"/>
                <w:sz w:val="16"/>
                <w:szCs w:val="16"/>
              </w:rPr>
              <w:t xml:space="preserve">Branded Fares Upsell API</w:t>
            </w:r>
          </w:p>
        </w:tc>
        <w:tc>
          <w:tcPr>
            <w:tcW w:type="dxa" w:w="2948"/>
            <w:tcBorders>
              <w:top w:val="single" w:color="C8D6E5" w:sz="1"/>
              <w:left w:val="single" w:color="C8D6E5" w:sz="1"/>
              <w:bottom w:val="single" w:color="C8D6E5" w:sz="1"/>
              <w:right w:val="single" w:color="C8D6E5" w:sz="1"/>
            </w:tcBorders>
            <w:shd w:fill="FFFFFF" w:val="clear"/>
            <w:tcMar>
              <w:top w:type="dxa" w:w="80"/>
              <w:left w:type="dxa" w:w="90"/>
              <w:bottom w:type="dxa" w:w="80"/>
              <w:right w:type="dxa" w:w="90"/>
            </w:tcMar>
          </w:tcPr>
          <w:p>
            <w:r>
              <w:rPr>
                <w:rFonts w:ascii="Arial" w:cs="Arial" w:eastAsia="Arial" w:hAnsi="Arial"/>
                <w:color w:val="1A1A1A"/>
                <w:sz w:val="17"/>
                <w:szCs w:val="17"/>
              </w:rPr>
              <w:t xml:space="preserve">Display fare families for comparison / upsell</w:t>
            </w:r>
          </w:p>
        </w:tc>
        <w:tc>
          <w:tcPr>
            <w:tcW w:type="dxa" w:w="2268"/>
            <w:tcBorders>
              <w:top w:val="single" w:color="C8D6E5" w:sz="1"/>
              <w:left w:val="single" w:color="C8D6E5" w:sz="1"/>
              <w:bottom w:val="single" w:color="C8D6E5" w:sz="1"/>
              <w:right w:val="single" w:color="C8D6E5" w:sz="1"/>
            </w:tcBorders>
            <w:shd w:fill="FFFFFF" w:val="clear"/>
            <w:tcMar>
              <w:top w:type="dxa" w:w="80"/>
              <w:left w:type="dxa" w:w="90"/>
              <w:bottom w:type="dxa" w:w="80"/>
              <w:right w:type="dxa" w:w="90"/>
            </w:tcMar>
          </w:tcPr>
          <w:p>
            <w:r>
              <w:rPr>
                <w:rFonts w:ascii="Arial" w:cs="Arial" w:eastAsia="Arial" w:hAnsi="Arial"/>
                <w:color w:val="1E7E4E"/>
                <w:sz w:val="16"/>
                <w:szCs w:val="16"/>
              </w:rPr>
              <w:t xml:space="preserve">✔ 100+ airline fare families.</w:t>
            </w:r>
          </w:p>
        </w:tc>
        <w:tc>
          <w:tcPr>
            <w:tcW w:type="dxa" w:w="2041"/>
            <w:tcBorders>
              <w:top w:val="single" w:color="C8D6E5" w:sz="1"/>
              <w:left w:val="single" w:color="C8D6E5" w:sz="1"/>
              <w:bottom w:val="single" w:color="C8D6E5" w:sz="1"/>
              <w:right w:val="single" w:color="C8D6E5" w:sz="1"/>
            </w:tcBorders>
            <w:shd w:fill="FFFFFF" w:val="clear"/>
            <w:tcMar>
              <w:top w:type="dxa" w:w="80"/>
              <w:left w:type="dxa" w:w="90"/>
              <w:bottom w:type="dxa" w:w="80"/>
              <w:right w:type="dxa" w:w="90"/>
            </w:tcMar>
          </w:tcPr>
          <w:p>
            <w:r>
              <w:rPr>
                <w:rFonts w:ascii="Arial" w:cs="Arial" w:eastAsia="Arial" w:hAnsi="Arial"/>
                <w:color w:val="1E7E4E"/>
                <w:sz w:val="16"/>
                <w:szCs w:val="16"/>
              </w:rPr>
              <w:t xml:space="preserve">✔ Includes NDC dynamic offers.</w:t>
            </w:r>
          </w:p>
        </w:tc>
      </w:tr>
      <w:tr>
        <w:tc>
          <w:tcPr>
            <w:tcW w:type="dxa" w:w="510"/>
            <w:tcBorders>
              <w:top w:val="single" w:color="C8D6E5" w:sz="1"/>
              <w:left w:val="single" w:color="C8D6E5" w:sz="1"/>
              <w:bottom w:val="single" w:color="C8D6E5" w:sz="1"/>
              <w:right w:val="single" w:color="C8D6E5" w:sz="1"/>
            </w:tcBorders>
            <w:shd w:fill="D6E4F0" w:val="clear"/>
            <w:tcMar>
              <w:top w:type="dxa" w:w="80"/>
              <w:left w:type="dxa" w:w="90"/>
              <w:bottom w:type="dxa" w:w="80"/>
              <w:right w:type="dxa" w:w="90"/>
            </w:tcMar>
          </w:tcPr>
          <w:p>
            <w:pPr>
              <w:jc w:val="center"/>
            </w:pPr>
            <w:r>
              <w:rPr>
                <w:rFonts w:ascii="Arial" w:cs="Arial" w:eastAsia="Arial" w:hAnsi="Arial"/>
                <w:b/>
                <w:bCs/>
                <w:color w:val="1A3C6B"/>
                <w:sz w:val="19"/>
                <w:szCs w:val="19"/>
              </w:rPr>
              <w:t xml:space="preserve">3</w:t>
            </w:r>
          </w:p>
        </w:tc>
        <w:tc>
          <w:tcPr>
            <w:tcW w:type="dxa" w:w="1985"/>
            <w:tcBorders>
              <w:top w:val="single" w:color="C8D6E5" w:sz="1"/>
              <w:left w:val="single" w:color="C8D6E5" w:sz="1"/>
              <w:bottom w:val="single" w:color="C8D6E5" w:sz="1"/>
              <w:right w:val="single" w:color="C8D6E5" w:sz="1"/>
            </w:tcBorders>
            <w:shd w:fill="D6E4F0" w:val="clear"/>
            <w:tcMar>
              <w:top w:type="dxa" w:w="80"/>
              <w:left w:type="dxa" w:w="90"/>
              <w:bottom w:type="dxa" w:w="80"/>
              <w:right w:type="dxa" w:w="90"/>
            </w:tcMar>
          </w:tcPr>
          <w:p>
            <w:r>
              <w:rPr>
                <w:rFonts w:ascii="Arial" w:cs="Arial" w:eastAsia="Arial" w:hAnsi="Arial"/>
                <w:b/>
                <w:bCs/>
                <w:color w:val="2E6DA4"/>
                <w:sz w:val="16"/>
                <w:szCs w:val="16"/>
              </w:rPr>
              <w:t xml:space="preserve">SeatMap Display API</w:t>
            </w:r>
          </w:p>
        </w:tc>
        <w:tc>
          <w:tcPr>
            <w:tcW w:type="dxa" w:w="2948"/>
            <w:tcBorders>
              <w:top w:val="single" w:color="C8D6E5" w:sz="1"/>
              <w:left w:val="single" w:color="C8D6E5" w:sz="1"/>
              <w:bottom w:val="single" w:color="C8D6E5" w:sz="1"/>
              <w:right w:val="single" w:color="C8D6E5" w:sz="1"/>
            </w:tcBorders>
            <w:shd w:fill="D6E4F0" w:val="clear"/>
            <w:tcMar>
              <w:top w:type="dxa" w:w="80"/>
              <w:left w:type="dxa" w:w="90"/>
              <w:bottom w:type="dxa" w:w="80"/>
              <w:right w:type="dxa" w:w="90"/>
            </w:tcMar>
          </w:tcPr>
          <w:p>
            <w:r>
              <w:rPr>
                <w:rFonts w:ascii="Arial" w:cs="Arial" w:eastAsia="Arial" w:hAnsi="Arial"/>
                <w:color w:val="1A1A1A"/>
                <w:sz w:val="17"/>
                <w:szCs w:val="17"/>
              </w:rPr>
              <w:t xml:space="preserve">Show interactive cabin layout for seat selection</w:t>
            </w:r>
          </w:p>
        </w:tc>
        <w:tc>
          <w:tcPr>
            <w:tcW w:type="dxa" w:w="2268"/>
            <w:tcBorders>
              <w:top w:val="single" w:color="C8D6E5" w:sz="1"/>
              <w:left w:val="single" w:color="C8D6E5" w:sz="1"/>
              <w:bottom w:val="single" w:color="C8D6E5" w:sz="1"/>
              <w:right w:val="single" w:color="C8D6E5" w:sz="1"/>
            </w:tcBorders>
            <w:shd w:fill="D6F0E2" w:val="clear"/>
            <w:tcMar>
              <w:top w:type="dxa" w:w="80"/>
              <w:left w:type="dxa" w:w="90"/>
              <w:bottom w:type="dxa" w:w="80"/>
              <w:right w:type="dxa" w:w="90"/>
            </w:tcMar>
          </w:tcPr>
          <w:p>
            <w:r>
              <w:rPr>
                <w:rFonts w:ascii="Arial" w:cs="Arial" w:eastAsia="Arial" w:hAnsi="Arial"/>
                <w:color w:val="1E7E4E"/>
                <w:sz w:val="16"/>
                <w:szCs w:val="16"/>
              </w:rPr>
              <w:t xml:space="preserve">✔ Real-time seat availability map.</w:t>
            </w:r>
          </w:p>
        </w:tc>
        <w:tc>
          <w:tcPr>
            <w:tcW w:type="dxa" w:w="2041"/>
            <w:tcBorders>
              <w:top w:val="single" w:color="C8D6E5" w:sz="1"/>
              <w:left w:val="single" w:color="C8D6E5" w:sz="1"/>
              <w:bottom w:val="single" w:color="C8D6E5" w:sz="1"/>
              <w:right w:val="single" w:color="C8D6E5" w:sz="1"/>
            </w:tcBorders>
            <w:shd w:fill="D6F0E2" w:val="clear"/>
            <w:tcMar>
              <w:top w:type="dxa" w:w="80"/>
              <w:left w:type="dxa" w:w="90"/>
              <w:bottom w:type="dxa" w:w="80"/>
              <w:right w:type="dxa" w:w="90"/>
            </w:tcMar>
          </w:tcPr>
          <w:p>
            <w:r>
              <w:rPr>
                <w:rFonts w:ascii="Arial" w:cs="Arial" w:eastAsia="Arial" w:hAnsi="Arial"/>
                <w:color w:val="1E7E4E"/>
                <w:sz w:val="16"/>
                <w:szCs w:val="16"/>
              </w:rPr>
              <w:t xml:space="preserve">✔ Same. Plus NDC seat maps.</w:t>
            </w:r>
          </w:p>
        </w:tc>
      </w:tr>
      <w:tr>
        <w:tc>
          <w:tcPr>
            <w:tcW w:type="dxa" w:w="510"/>
            <w:tcBorders>
              <w:top w:val="single" w:color="C8D6E5" w:sz="1"/>
              <w:left w:val="single" w:color="C8D6E5" w:sz="1"/>
              <w:bottom w:val="single" w:color="C8D6E5" w:sz="1"/>
              <w:right w:val="single" w:color="C8D6E5" w:sz="1"/>
            </w:tcBorders>
            <w:shd w:fill="FFFFFF" w:val="clear"/>
            <w:tcMar>
              <w:top w:type="dxa" w:w="80"/>
              <w:left w:type="dxa" w:w="90"/>
              <w:bottom w:type="dxa" w:w="80"/>
              <w:right w:type="dxa" w:w="90"/>
            </w:tcMar>
          </w:tcPr>
          <w:p>
            <w:pPr>
              <w:jc w:val="center"/>
            </w:pPr>
            <w:r>
              <w:rPr>
                <w:rFonts w:ascii="Arial" w:cs="Arial" w:eastAsia="Arial" w:hAnsi="Arial"/>
                <w:b/>
                <w:bCs/>
                <w:color w:val="1A3C6B"/>
                <w:sz w:val="19"/>
                <w:szCs w:val="19"/>
              </w:rPr>
              <w:t xml:space="preserve">4</w:t>
            </w:r>
          </w:p>
        </w:tc>
        <w:tc>
          <w:tcPr>
            <w:tcW w:type="dxa" w:w="1985"/>
            <w:tcBorders>
              <w:top w:val="single" w:color="C8D6E5" w:sz="1"/>
              <w:left w:val="single" w:color="C8D6E5" w:sz="1"/>
              <w:bottom w:val="single" w:color="C8D6E5" w:sz="1"/>
              <w:right w:val="single" w:color="C8D6E5" w:sz="1"/>
            </w:tcBorders>
            <w:shd w:fill="FFFFFF" w:val="clear"/>
            <w:tcMar>
              <w:top w:type="dxa" w:w="80"/>
              <w:left w:type="dxa" w:w="90"/>
              <w:bottom w:type="dxa" w:w="80"/>
              <w:right w:type="dxa" w:w="90"/>
            </w:tcMar>
          </w:tcPr>
          <w:p>
            <w:r>
              <w:rPr>
                <w:rFonts w:ascii="Arial" w:cs="Arial" w:eastAsia="Arial" w:hAnsi="Arial"/>
                <w:b/>
                <w:bCs/>
                <w:color w:val="2E6DA4"/>
                <w:sz w:val="16"/>
                <w:szCs w:val="16"/>
              </w:rPr>
              <w:t xml:space="preserve">Flight Offers Price API</w:t>
            </w:r>
          </w:p>
        </w:tc>
        <w:tc>
          <w:tcPr>
            <w:tcW w:type="dxa" w:w="2948"/>
            <w:tcBorders>
              <w:top w:val="single" w:color="C8D6E5" w:sz="1"/>
              <w:left w:val="single" w:color="C8D6E5" w:sz="1"/>
              <w:bottom w:val="single" w:color="C8D6E5" w:sz="1"/>
              <w:right w:val="single" w:color="C8D6E5" w:sz="1"/>
            </w:tcBorders>
            <w:shd w:fill="FFFFFF" w:val="clear"/>
            <w:tcMar>
              <w:top w:type="dxa" w:w="80"/>
              <w:left w:type="dxa" w:w="90"/>
              <w:bottom w:type="dxa" w:w="80"/>
              <w:right w:type="dxa" w:w="90"/>
            </w:tcMar>
          </w:tcPr>
          <w:p>
            <w:r>
              <w:rPr>
                <w:rFonts w:ascii="Arial" w:cs="Arial" w:eastAsia="Arial" w:hAnsi="Arial"/>
                <w:color w:val="1A1A1A"/>
                <w:sz w:val="17"/>
                <w:szCs w:val="17"/>
              </w:rPr>
              <w:t xml:space="preserve">Confirm live price, validate ancillaries, fare rules</w:t>
            </w:r>
          </w:p>
        </w:tc>
        <w:tc>
          <w:tcPr>
            <w:tcW w:type="dxa" w:w="2268"/>
            <w:tcBorders>
              <w:top w:val="single" w:color="C8D6E5" w:sz="1"/>
              <w:left w:val="single" w:color="C8D6E5" w:sz="1"/>
              <w:bottom w:val="single" w:color="C8D6E5" w:sz="1"/>
              <w:right w:val="single" w:color="C8D6E5" w:sz="1"/>
            </w:tcBorders>
            <w:shd w:fill="FFFFFF" w:val="clear"/>
            <w:tcMar>
              <w:top w:type="dxa" w:w="80"/>
              <w:left w:type="dxa" w:w="90"/>
              <w:bottom w:type="dxa" w:w="80"/>
              <w:right w:type="dxa" w:w="90"/>
            </w:tcMar>
          </w:tcPr>
          <w:p>
            <w:r>
              <w:rPr>
                <w:rFonts w:ascii="Arial" w:cs="Arial" w:eastAsia="Arial" w:hAnsi="Arial"/>
                <w:color w:val="1E7E4E"/>
                <w:sz w:val="16"/>
                <w:szCs w:val="16"/>
              </w:rPr>
              <w:t xml:space="preserve">✔ MANDATORY before booking.</w:t>
            </w:r>
          </w:p>
        </w:tc>
        <w:tc>
          <w:tcPr>
            <w:tcW w:type="dxa" w:w="2041"/>
            <w:tcBorders>
              <w:top w:val="single" w:color="C8D6E5" w:sz="1"/>
              <w:left w:val="single" w:color="C8D6E5" w:sz="1"/>
              <w:bottom w:val="single" w:color="C8D6E5" w:sz="1"/>
              <w:right w:val="single" w:color="C8D6E5" w:sz="1"/>
            </w:tcBorders>
            <w:shd w:fill="FFFFFF" w:val="clear"/>
            <w:tcMar>
              <w:top w:type="dxa" w:w="80"/>
              <w:left w:type="dxa" w:w="90"/>
              <w:bottom w:type="dxa" w:w="80"/>
              <w:right w:type="dxa" w:w="90"/>
            </w:tcMar>
          </w:tcPr>
          <w:p>
            <w:r>
              <w:rPr>
                <w:rFonts w:ascii="Arial" w:cs="Arial" w:eastAsia="Arial" w:hAnsi="Arial"/>
                <w:color w:val="1E7E4E"/>
                <w:sz w:val="16"/>
                <w:szCs w:val="16"/>
              </w:rPr>
              <w:t xml:space="preserve">✔ MANDATORY. Structured fare rules.</w:t>
            </w:r>
          </w:p>
        </w:tc>
      </w:tr>
      <w:tr>
        <w:tc>
          <w:tcPr>
            <w:tcW w:type="dxa" w:w="510"/>
            <w:tcBorders>
              <w:top w:val="single" w:color="C8D6E5" w:sz="1"/>
              <w:left w:val="single" w:color="C8D6E5" w:sz="1"/>
              <w:bottom w:val="single" w:color="C8D6E5" w:sz="1"/>
              <w:right w:val="single" w:color="C8D6E5" w:sz="1"/>
            </w:tcBorders>
            <w:shd w:fill="D6E4F0" w:val="clear"/>
            <w:tcMar>
              <w:top w:type="dxa" w:w="80"/>
              <w:left w:type="dxa" w:w="90"/>
              <w:bottom w:type="dxa" w:w="80"/>
              <w:right w:type="dxa" w:w="90"/>
            </w:tcMar>
          </w:tcPr>
          <w:p>
            <w:pPr>
              <w:jc w:val="center"/>
            </w:pPr>
            <w:r>
              <w:rPr>
                <w:rFonts w:ascii="Arial" w:cs="Arial" w:eastAsia="Arial" w:hAnsi="Arial"/>
                <w:b/>
                <w:bCs/>
                <w:color w:val="1A3C6B"/>
                <w:sz w:val="19"/>
                <w:szCs w:val="19"/>
              </w:rPr>
              <w:t xml:space="preserve">5</w:t>
            </w:r>
          </w:p>
        </w:tc>
        <w:tc>
          <w:tcPr>
            <w:tcW w:type="dxa" w:w="1985"/>
            <w:tcBorders>
              <w:top w:val="single" w:color="C8D6E5" w:sz="1"/>
              <w:left w:val="single" w:color="C8D6E5" w:sz="1"/>
              <w:bottom w:val="single" w:color="C8D6E5" w:sz="1"/>
              <w:right w:val="single" w:color="C8D6E5" w:sz="1"/>
            </w:tcBorders>
            <w:shd w:fill="D6E4F0" w:val="clear"/>
            <w:tcMar>
              <w:top w:type="dxa" w:w="80"/>
              <w:left w:type="dxa" w:w="90"/>
              <w:bottom w:type="dxa" w:w="80"/>
              <w:right w:type="dxa" w:w="90"/>
            </w:tcMar>
          </w:tcPr>
          <w:p>
            <w:r>
              <w:rPr>
                <w:rFonts w:ascii="Arial" w:cs="Arial" w:eastAsia="Arial" w:hAnsi="Arial"/>
                <w:b/>
                <w:bCs/>
                <w:color w:val="2E6DA4"/>
                <w:sz w:val="16"/>
                <w:szCs w:val="16"/>
              </w:rPr>
              <w:t xml:space="preserve">Flight Create Orders API</w:t>
            </w:r>
          </w:p>
        </w:tc>
        <w:tc>
          <w:tcPr>
            <w:tcW w:type="dxa" w:w="2948"/>
            <w:tcBorders>
              <w:top w:val="single" w:color="C8D6E5" w:sz="1"/>
              <w:left w:val="single" w:color="C8D6E5" w:sz="1"/>
              <w:bottom w:val="single" w:color="C8D6E5" w:sz="1"/>
              <w:right w:val="single" w:color="C8D6E5" w:sz="1"/>
            </w:tcBorders>
            <w:shd w:fill="D6E4F0" w:val="clear"/>
            <w:tcMar>
              <w:top w:type="dxa" w:w="80"/>
              <w:left w:type="dxa" w:w="90"/>
              <w:bottom w:type="dxa" w:w="80"/>
              <w:right w:type="dxa" w:w="90"/>
            </w:tcMar>
          </w:tcPr>
          <w:p>
            <w:r>
              <w:rPr>
                <w:rFonts w:ascii="Arial" w:cs="Arial" w:eastAsia="Arial" w:hAnsi="Arial"/>
                <w:color w:val="1A1A1A"/>
                <w:sz w:val="17"/>
                <w:szCs w:val="17"/>
              </w:rPr>
              <w:t xml:space="preserve">Create PNR in airline system — get Order ID</w:t>
            </w:r>
          </w:p>
        </w:tc>
        <w:tc>
          <w:tcPr>
            <w:tcW w:type="dxa" w:w="2268"/>
            <w:tcBorders>
              <w:top w:val="single" w:color="C8D6E5" w:sz="1"/>
              <w:left w:val="single" w:color="C8D6E5" w:sz="1"/>
              <w:bottom w:val="single" w:color="C8D6E5" w:sz="1"/>
              <w:right w:val="single" w:color="C8D6E5" w:sz="1"/>
            </w:tcBorders>
            <w:shd w:fill="D6F0E2" w:val="clear"/>
            <w:tcMar>
              <w:top w:type="dxa" w:w="80"/>
              <w:left w:type="dxa" w:w="90"/>
              <w:bottom w:type="dxa" w:w="80"/>
              <w:right w:type="dxa" w:w="90"/>
            </w:tcMar>
          </w:tcPr>
          <w:p>
            <w:r>
              <w:rPr>
                <w:rFonts w:ascii="Arial" w:cs="Arial" w:eastAsia="Arial" w:hAnsi="Arial"/>
                <w:color w:val="1E7E4E"/>
                <w:sz w:val="16"/>
                <w:szCs w:val="16"/>
              </w:rPr>
              <w:t xml:space="preserve">✔ Creates PNR. Returns Order ID.</w:t>
            </w:r>
          </w:p>
        </w:tc>
        <w:tc>
          <w:tcPr>
            <w:tcW w:type="dxa" w:w="2041"/>
            <w:tcBorders>
              <w:top w:val="single" w:color="C8D6E5" w:sz="1"/>
              <w:left w:val="single" w:color="C8D6E5" w:sz="1"/>
              <w:bottom w:val="single" w:color="C8D6E5" w:sz="1"/>
              <w:right w:val="single" w:color="C8D6E5" w:sz="1"/>
            </w:tcBorders>
            <w:shd w:fill="D6F0E2" w:val="clear"/>
            <w:tcMar>
              <w:top w:type="dxa" w:w="80"/>
              <w:left w:type="dxa" w:w="90"/>
              <w:bottom w:type="dxa" w:w="80"/>
              <w:right w:type="dxa" w:w="90"/>
            </w:tcMar>
          </w:tcPr>
          <w:p>
            <w:r>
              <w:rPr>
                <w:rFonts w:ascii="Arial" w:cs="Arial" w:eastAsia="Arial" w:hAnsi="Arial"/>
                <w:color w:val="1E7E4E"/>
                <w:sz w:val="16"/>
                <w:szCs w:val="16"/>
              </w:rPr>
              <w:t xml:space="preserve">✔ Same. Also triggers direct NDC orders.</w:t>
            </w:r>
          </w:p>
        </w:tc>
      </w:tr>
      <w:tr>
        <w:tc>
          <w:tcPr>
            <w:tcW w:type="dxa" w:w="510"/>
            <w:tcBorders>
              <w:top w:val="single" w:color="C8D6E5" w:sz="1"/>
              <w:left w:val="single" w:color="C8D6E5" w:sz="1"/>
              <w:bottom w:val="single" w:color="C8D6E5" w:sz="1"/>
              <w:right w:val="single" w:color="C8D6E5" w:sz="1"/>
            </w:tcBorders>
            <w:shd w:fill="FFFFFF" w:val="clear"/>
            <w:tcMar>
              <w:top w:type="dxa" w:w="80"/>
              <w:left w:type="dxa" w:w="90"/>
              <w:bottom w:type="dxa" w:w="80"/>
              <w:right w:type="dxa" w:w="90"/>
            </w:tcMar>
          </w:tcPr>
          <w:p>
            <w:pPr>
              <w:jc w:val="center"/>
            </w:pPr>
            <w:r>
              <w:rPr>
                <w:rFonts w:ascii="Arial" w:cs="Arial" w:eastAsia="Arial" w:hAnsi="Arial"/>
                <w:b/>
                <w:bCs/>
                <w:color w:val="1A3C6B"/>
                <w:sz w:val="19"/>
                <w:szCs w:val="19"/>
              </w:rPr>
              <w:t xml:space="preserve">6</w:t>
            </w:r>
          </w:p>
        </w:tc>
        <w:tc>
          <w:tcPr>
            <w:tcW w:type="dxa" w:w="1985"/>
            <w:tcBorders>
              <w:top w:val="single" w:color="C8D6E5" w:sz="1"/>
              <w:left w:val="single" w:color="C8D6E5" w:sz="1"/>
              <w:bottom w:val="single" w:color="C8D6E5" w:sz="1"/>
              <w:right w:val="single" w:color="C8D6E5" w:sz="1"/>
            </w:tcBorders>
            <w:shd w:fill="FFFFFF" w:val="clear"/>
            <w:tcMar>
              <w:top w:type="dxa" w:w="80"/>
              <w:left w:type="dxa" w:w="90"/>
              <w:bottom w:type="dxa" w:w="80"/>
              <w:right w:type="dxa" w:w="90"/>
            </w:tcMar>
          </w:tcPr>
          <w:p>
            <w:r>
              <w:rPr>
                <w:rFonts w:ascii="Arial" w:cs="Arial" w:eastAsia="Arial" w:hAnsi="Arial"/>
                <w:b/>
                <w:bCs/>
                <w:color w:val="2E6DA4"/>
                <w:sz w:val="16"/>
                <w:szCs w:val="16"/>
              </w:rPr>
              <w:t xml:space="preserve">Ticket Issuance</w:t>
            </w:r>
          </w:p>
        </w:tc>
        <w:tc>
          <w:tcPr>
            <w:tcW w:type="dxa" w:w="2948"/>
            <w:tcBorders>
              <w:top w:val="single" w:color="C8D6E5" w:sz="1"/>
              <w:left w:val="single" w:color="C8D6E5" w:sz="1"/>
              <w:bottom w:val="single" w:color="C8D6E5" w:sz="1"/>
              <w:right w:val="single" w:color="C8D6E5" w:sz="1"/>
            </w:tcBorders>
            <w:shd w:fill="FFFFFF" w:val="clear"/>
            <w:tcMar>
              <w:top w:type="dxa" w:w="80"/>
              <w:left w:type="dxa" w:w="90"/>
              <w:bottom w:type="dxa" w:w="80"/>
              <w:right w:type="dxa" w:w="90"/>
            </w:tcMar>
          </w:tcPr>
          <w:p>
            <w:r>
              <w:rPr>
                <w:rFonts w:ascii="Arial" w:cs="Arial" w:eastAsia="Arial" w:hAnsi="Arial"/>
                <w:color w:val="1A1A1A"/>
                <w:sz w:val="17"/>
                <w:szCs w:val="17"/>
              </w:rPr>
              <w:t xml:space="preserve">Issue e-ticket and settle payment</w:t>
            </w:r>
          </w:p>
        </w:tc>
        <w:tc>
          <w:tcPr>
            <w:tcW w:type="dxa" w:w="2268"/>
            <w:tcBorders>
              <w:top w:val="single" w:color="C8D6E5" w:sz="1"/>
              <w:left w:val="single" w:color="C8D6E5" w:sz="1"/>
              <w:bottom w:val="single" w:color="C8D6E5" w:sz="1"/>
              <w:right w:val="single" w:color="C8D6E5" w:sz="1"/>
            </w:tcBorders>
            <w:shd w:fill="FFFFFF" w:val="clear"/>
            <w:tcMar>
              <w:top w:type="dxa" w:w="80"/>
              <w:left w:type="dxa" w:w="90"/>
              <w:bottom w:type="dxa" w:w="80"/>
              <w:right w:type="dxa" w:w="90"/>
            </w:tcMar>
          </w:tcPr>
          <w:p>
            <w:r>
              <w:rPr>
                <w:rFonts w:ascii="Arial" w:cs="Arial" w:eastAsia="Arial" w:hAnsi="Arial"/>
                <w:color w:val="C0580A"/>
                <w:sz w:val="16"/>
                <w:szCs w:val="16"/>
              </w:rPr>
              <w:t xml:space="preserve">⚠ Via consolidator partner (offline).</w:t>
            </w:r>
          </w:p>
        </w:tc>
        <w:tc>
          <w:tcPr>
            <w:tcW w:type="dxa" w:w="2041"/>
            <w:tcBorders>
              <w:top w:val="single" w:color="C8D6E5" w:sz="1"/>
              <w:left w:val="single" w:color="C8D6E5" w:sz="1"/>
              <w:bottom w:val="single" w:color="C8D6E5" w:sz="1"/>
              <w:right w:val="single" w:color="C8D6E5" w:sz="1"/>
            </w:tcBorders>
            <w:shd w:fill="FFFFFF" w:val="clear"/>
            <w:tcMar>
              <w:top w:type="dxa" w:w="80"/>
              <w:left w:type="dxa" w:w="90"/>
              <w:bottom w:type="dxa" w:w="80"/>
              <w:right w:type="dxa" w:w="90"/>
            </w:tcMar>
          </w:tcPr>
          <w:p>
            <w:r>
              <w:rPr>
                <w:rFonts w:ascii="Arial" w:cs="Arial" w:eastAsia="Arial" w:hAnsi="Arial"/>
                <w:color w:val="1E7E4E"/>
                <w:sz w:val="16"/>
                <w:szCs w:val="16"/>
              </w:rPr>
              <w:t xml:space="preserve">✔ Direct BSP/ARC issuance. Agency-issued.</w:t>
            </w:r>
          </w:p>
        </w:tc>
      </w:tr>
      <w:tr>
        <w:tc>
          <w:tcPr>
            <w:tcW w:type="dxa" w:w="510"/>
            <w:tcBorders>
              <w:top w:val="single" w:color="C8D6E5" w:sz="1"/>
              <w:left w:val="single" w:color="C8D6E5" w:sz="1"/>
              <w:bottom w:val="single" w:color="C8D6E5" w:sz="1"/>
              <w:right w:val="single" w:color="C8D6E5" w:sz="1"/>
            </w:tcBorders>
            <w:shd w:fill="D6E4F0" w:val="clear"/>
            <w:tcMar>
              <w:top w:type="dxa" w:w="80"/>
              <w:left w:type="dxa" w:w="90"/>
              <w:bottom w:type="dxa" w:w="80"/>
              <w:right w:type="dxa" w:w="90"/>
            </w:tcMar>
          </w:tcPr>
          <w:p>
            <w:pPr>
              <w:jc w:val="center"/>
            </w:pPr>
            <w:r>
              <w:rPr>
                <w:rFonts w:ascii="Arial" w:cs="Arial" w:eastAsia="Arial" w:hAnsi="Arial"/>
                <w:b/>
                <w:bCs/>
                <w:color w:val="1A3C6B"/>
                <w:sz w:val="19"/>
                <w:szCs w:val="19"/>
              </w:rPr>
              <w:t xml:space="preserve">7</w:t>
            </w:r>
          </w:p>
        </w:tc>
        <w:tc>
          <w:tcPr>
            <w:tcW w:type="dxa" w:w="1985"/>
            <w:tcBorders>
              <w:top w:val="single" w:color="C8D6E5" w:sz="1"/>
              <w:left w:val="single" w:color="C8D6E5" w:sz="1"/>
              <w:bottom w:val="single" w:color="C8D6E5" w:sz="1"/>
              <w:right w:val="single" w:color="C8D6E5" w:sz="1"/>
            </w:tcBorders>
            <w:shd w:fill="D6E4F0" w:val="clear"/>
            <w:tcMar>
              <w:top w:type="dxa" w:w="80"/>
              <w:left w:type="dxa" w:w="90"/>
              <w:bottom w:type="dxa" w:w="80"/>
              <w:right w:type="dxa" w:w="90"/>
            </w:tcMar>
          </w:tcPr>
          <w:p>
            <w:r>
              <w:rPr>
                <w:rFonts w:ascii="Arial" w:cs="Arial" w:eastAsia="Arial" w:hAnsi="Arial"/>
                <w:b/>
                <w:bCs/>
                <w:color w:val="2E6DA4"/>
                <w:sz w:val="16"/>
                <w:szCs w:val="16"/>
              </w:rPr>
              <w:t xml:space="preserve">Flight Order Management API</w:t>
            </w:r>
          </w:p>
        </w:tc>
        <w:tc>
          <w:tcPr>
            <w:tcW w:type="dxa" w:w="2948"/>
            <w:tcBorders>
              <w:top w:val="single" w:color="C8D6E5" w:sz="1"/>
              <w:left w:val="single" w:color="C8D6E5" w:sz="1"/>
              <w:bottom w:val="single" w:color="C8D6E5" w:sz="1"/>
              <w:right w:val="single" w:color="C8D6E5" w:sz="1"/>
            </w:tcBorders>
            <w:shd w:fill="D6E4F0" w:val="clear"/>
            <w:tcMar>
              <w:top w:type="dxa" w:w="80"/>
              <w:left w:type="dxa" w:w="90"/>
              <w:bottom w:type="dxa" w:w="80"/>
              <w:right w:type="dxa" w:w="90"/>
            </w:tcMar>
          </w:tcPr>
          <w:p>
            <w:r>
              <w:rPr>
                <w:rFonts w:ascii="Arial" w:cs="Arial" w:eastAsia="Arial" w:hAnsi="Arial"/>
                <w:color w:val="1A1A1A"/>
                <w:sz w:val="17"/>
                <w:szCs w:val="17"/>
              </w:rPr>
              <w:t xml:space="preserve">Retrieve, manage, or cancel existing order</w:t>
            </w:r>
          </w:p>
        </w:tc>
        <w:tc>
          <w:tcPr>
            <w:tcW w:type="dxa" w:w="2268"/>
            <w:tcBorders>
              <w:top w:val="single" w:color="C8D6E5" w:sz="1"/>
              <w:left w:val="single" w:color="C8D6E5" w:sz="1"/>
              <w:bottom w:val="single" w:color="C8D6E5" w:sz="1"/>
              <w:right w:val="single" w:color="C8D6E5" w:sz="1"/>
            </w:tcBorders>
            <w:shd w:fill="D6F0E2" w:val="clear"/>
            <w:tcMar>
              <w:top w:type="dxa" w:w="80"/>
              <w:left w:type="dxa" w:w="90"/>
              <w:bottom w:type="dxa" w:w="80"/>
              <w:right w:type="dxa" w:w="90"/>
            </w:tcMar>
          </w:tcPr>
          <w:p>
            <w:r>
              <w:rPr>
                <w:rFonts w:ascii="Arial" w:cs="Arial" w:eastAsia="Arial" w:hAnsi="Arial"/>
                <w:color w:val="1E7E4E"/>
                <w:sz w:val="16"/>
                <w:szCs w:val="16"/>
              </w:rPr>
              <w:t xml:space="preserve">✔ Retrieve + cancel pre-ticketing only.</w:t>
            </w:r>
          </w:p>
        </w:tc>
        <w:tc>
          <w:tcPr>
            <w:tcW w:type="dxa" w:w="2041"/>
            <w:tcBorders>
              <w:top w:val="single" w:color="C8D6E5" w:sz="1"/>
              <w:left w:val="single" w:color="C8D6E5" w:sz="1"/>
              <w:bottom w:val="single" w:color="C8D6E5" w:sz="1"/>
              <w:right w:val="single" w:color="C8D6E5" w:sz="1"/>
            </w:tcBorders>
            <w:shd w:fill="D6F0E2" w:val="clear"/>
            <w:tcMar>
              <w:top w:type="dxa" w:w="80"/>
              <w:left w:type="dxa" w:w="90"/>
              <w:bottom w:type="dxa" w:w="80"/>
              <w:right w:type="dxa" w:w="90"/>
            </w:tcMar>
          </w:tcPr>
          <w:p>
            <w:r>
              <w:rPr>
                <w:rFonts w:ascii="Arial" w:cs="Arial" w:eastAsia="Arial" w:hAnsi="Arial"/>
                <w:color w:val="1E7E4E"/>
                <w:sz w:val="16"/>
                <w:szCs w:val="16"/>
              </w:rPr>
              <w:t xml:space="preserve">✔ Full lifecycle — retrieve, modify, cancel, void.</w:t>
            </w:r>
          </w:p>
        </w:tc>
      </w:tr>
    </w:tbl>
    <w:p>
      <w:pPr>
        <w:spacing w:before="0" w:after="0"/>
      </w:pPr>
      <w:r>
        <w:rPr>
          <w:sz w:val="24"/>
          <w:szCs w:val="24"/>
        </w:rPr>
        <w:t xml:space="preserve"/>
      </w:r>
    </w:p>
    <w:p>
      <w:pPr>
        <w:pStyle w:val="Heading1"/>
        <w:pBdr>
          <w:bottom w:val="single" w:color="2E6DA4" w:sz="4" w:space="6"/>
        </w:pBdr>
        <w:spacing w:before="400" w:after="160"/>
      </w:pPr>
      <w:r>
        <w:rPr>
          <w:rFonts w:ascii="Arial" w:cs="Arial" w:eastAsia="Arial" w:hAnsi="Arial"/>
          <w:b/>
          <w:bCs/>
          <w:color w:val="1A3C6B"/>
          <w:sz w:val="28"/>
          <w:szCs w:val="28"/>
        </w:rPr>
        <w:t xml:space="preserve">5. Commission &amp; Negotiated Pricing for Travel Agencies</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268"/>
        <w:gridCol w:w="2155"/>
        <w:gridCol w:w="1247"/>
        <w:gridCol w:w="1247"/>
        <w:gridCol w:w="2835"/>
      </w:tblGrid>
      <w:tr>
        <w:trPr>
          <w:tblHeader/>
        </w:trPr>
        <w:tc>
          <w:tcPr>
            <w:tcW w:type="dxa" w:w="2268"/>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Feature / Capability</w:t>
            </w:r>
          </w:p>
        </w:tc>
        <w:tc>
          <w:tcPr>
            <w:tcW w:type="dxa" w:w="215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Amadeus API / Product</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Self-Service</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Enterprise</w:t>
            </w:r>
          </w:p>
        </w:tc>
        <w:tc>
          <w:tcPr>
            <w:tcW w:type="dxa" w:w="283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Notes &amp; Details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Public / Published GDS Fares</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Flight Offers Search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Standard IATA fares. All public fares available.</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Negotiated / Private Fares (Cat 35)</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Enterprise GDS Fare Engine</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Agency-specific negotiated rates. Requires IATA accreditation + airline agreements.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Net / Consolidator Fares</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Enterprise + Consolidator Agreement</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Net fares below published rates. Requires commercial deal with consolidator.</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GDS Segment Incentives (Commission)</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Amadeus Enterprise Contract</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Per-segment incentives paid by Amadeus to agency. Not available Self-Service.</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NDC Fares (Airline Direct Content)</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Enterprise NDC Connect</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NDC fares from 35+ airlines — often better-priced than GDS. Enterprise only.</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Markup Engine (Agency to Sub-Agent)</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Platform-built</w:t>
            </w:r>
          </w:p>
        </w:tc>
        <w:tc>
          <w:tcPr>
            <w:tcW w:type="dxa" w:w="1247"/>
            <w:tcBorders>
              <w:top w:val="single" w:color="C8D6E5" w:sz="1"/>
              <w:left w:val="single" w:color="C8D6E5" w:sz="1"/>
              <w:bottom w:val="single" w:color="C8D6E5" w:sz="1"/>
              <w:right w:val="single" w:color="C8D6E5" w:sz="1"/>
            </w:tcBorders>
            <w:shd w:fill="D6E4F0" w:val="clear"/>
            <w:tcMar>
              <w:top w:type="dxa" w:w="80"/>
              <w:left w:type="dxa" w:w="60"/>
              <w:bottom w:type="dxa" w:w="80"/>
              <w:right w:type="dxa" w:w="60"/>
            </w:tcMar>
            <w:vAlign w:val="center"/>
          </w:tcPr>
          <w:p>
            <w:pPr>
              <w:jc w:val="center"/>
            </w:pPr>
            <w:r>
              <w:rPr>
                <w:rFonts w:ascii="Arial" w:cs="Arial" w:eastAsia="Arial" w:hAnsi="Arial"/>
                <w:b/>
                <w:bCs/>
                <w:color w:val="2E6DA4"/>
                <w:sz w:val="15"/>
                <w:szCs w:val="15"/>
              </w:rPr>
              <w:t xml:space="preserve">✔ Platform</w:t>
            </w:r>
          </w:p>
        </w:tc>
        <w:tc>
          <w:tcPr>
            <w:tcW w:type="dxa" w:w="1247"/>
            <w:tcBorders>
              <w:top w:val="single" w:color="C8D6E5" w:sz="1"/>
              <w:left w:val="single" w:color="C8D6E5" w:sz="1"/>
              <w:bottom w:val="single" w:color="C8D6E5" w:sz="1"/>
              <w:right w:val="single" w:color="C8D6E5" w:sz="1"/>
            </w:tcBorders>
            <w:shd w:fill="D6E4F0" w:val="clear"/>
            <w:tcMar>
              <w:top w:type="dxa" w:w="80"/>
              <w:left w:type="dxa" w:w="60"/>
              <w:bottom w:type="dxa" w:w="80"/>
              <w:right w:type="dxa" w:w="60"/>
            </w:tcMar>
            <w:vAlign w:val="center"/>
          </w:tcPr>
          <w:p>
            <w:pPr>
              <w:jc w:val="center"/>
            </w:pPr>
            <w:r>
              <w:rPr>
                <w:rFonts w:ascii="Arial" w:cs="Arial" w:eastAsia="Arial" w:hAnsi="Arial"/>
                <w:b/>
                <w:bCs/>
                <w:color w:val="2E6DA4"/>
                <w:sz w:val="15"/>
                <w:szCs w:val="15"/>
              </w:rPr>
              <w:t xml:space="preserve">✔ Platform</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Not an Amadeus feature. Your platform applies markup layers on top of any fares.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Service Fee Charging</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Platform-built + BSP</w:t>
            </w:r>
          </w:p>
        </w:tc>
        <w:tc>
          <w:tcPr>
            <w:tcW w:type="dxa" w:w="1247"/>
            <w:tcBorders>
              <w:top w:val="single" w:color="C8D6E5" w:sz="1"/>
              <w:left w:val="single" w:color="C8D6E5" w:sz="1"/>
              <w:bottom w:val="single" w:color="C8D6E5" w:sz="1"/>
              <w:right w:val="single" w:color="C8D6E5" w:sz="1"/>
            </w:tcBorders>
            <w:shd w:fill="D6E4F0" w:val="clear"/>
            <w:tcMar>
              <w:top w:type="dxa" w:w="80"/>
              <w:left w:type="dxa" w:w="60"/>
              <w:bottom w:type="dxa" w:w="80"/>
              <w:right w:type="dxa" w:w="60"/>
            </w:tcMar>
            <w:vAlign w:val="center"/>
          </w:tcPr>
          <w:p>
            <w:pPr>
              <w:jc w:val="center"/>
            </w:pPr>
            <w:r>
              <w:rPr>
                <w:rFonts w:ascii="Arial" w:cs="Arial" w:eastAsia="Arial" w:hAnsi="Arial"/>
                <w:b/>
                <w:bCs/>
                <w:color w:val="2E6DA4"/>
                <w:sz w:val="15"/>
                <w:szCs w:val="15"/>
              </w:rPr>
              <w:t xml:space="preserve">✔ Platform</w:t>
            </w:r>
          </w:p>
        </w:tc>
        <w:tc>
          <w:tcPr>
            <w:tcW w:type="dxa" w:w="1247"/>
            <w:tcBorders>
              <w:top w:val="single" w:color="C8D6E5" w:sz="1"/>
              <w:left w:val="single" w:color="C8D6E5" w:sz="1"/>
              <w:bottom w:val="single" w:color="C8D6E5" w:sz="1"/>
              <w:right w:val="single" w:color="C8D6E5" w:sz="1"/>
            </w:tcBorders>
            <w:shd w:fill="D6E4F0" w:val="clear"/>
            <w:tcMar>
              <w:top w:type="dxa" w:w="80"/>
              <w:left w:type="dxa" w:w="60"/>
              <w:bottom w:type="dxa" w:w="80"/>
              <w:right w:type="dxa" w:w="60"/>
            </w:tcMar>
            <w:vAlign w:val="center"/>
          </w:tcPr>
          <w:p>
            <w:pPr>
              <w:jc w:val="center"/>
            </w:pPr>
            <w:r>
              <w:rPr>
                <w:rFonts w:ascii="Arial" w:cs="Arial" w:eastAsia="Arial" w:hAnsi="Arial"/>
                <w:b/>
                <w:bCs/>
                <w:color w:val="2E6DA4"/>
                <w:sz w:val="15"/>
                <w:szCs w:val="15"/>
              </w:rPr>
              <w:t xml:space="preserve">✔ Platform</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Your platform defines service fees. Billed via BSP or separate payment gateway.</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Multi-Level B2B Pricing</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Platform-built</w:t>
            </w:r>
          </w:p>
        </w:tc>
        <w:tc>
          <w:tcPr>
            <w:tcW w:type="dxa" w:w="1247"/>
            <w:tcBorders>
              <w:top w:val="single" w:color="C8D6E5" w:sz="1"/>
              <w:left w:val="single" w:color="C8D6E5" w:sz="1"/>
              <w:bottom w:val="single" w:color="C8D6E5" w:sz="1"/>
              <w:right w:val="single" w:color="C8D6E5" w:sz="1"/>
            </w:tcBorders>
            <w:shd w:fill="D6E4F0" w:val="clear"/>
            <w:tcMar>
              <w:top w:type="dxa" w:w="80"/>
              <w:left w:type="dxa" w:w="60"/>
              <w:bottom w:type="dxa" w:w="80"/>
              <w:right w:type="dxa" w:w="60"/>
            </w:tcMar>
            <w:vAlign w:val="center"/>
          </w:tcPr>
          <w:p>
            <w:pPr>
              <w:jc w:val="center"/>
            </w:pPr>
            <w:r>
              <w:rPr>
                <w:rFonts w:ascii="Arial" w:cs="Arial" w:eastAsia="Arial" w:hAnsi="Arial"/>
                <w:b/>
                <w:bCs/>
                <w:color w:val="2E6DA4"/>
                <w:sz w:val="15"/>
                <w:szCs w:val="15"/>
              </w:rPr>
              <w:t xml:space="preserve">✔ Platform</w:t>
            </w:r>
          </w:p>
        </w:tc>
        <w:tc>
          <w:tcPr>
            <w:tcW w:type="dxa" w:w="1247"/>
            <w:tcBorders>
              <w:top w:val="single" w:color="C8D6E5" w:sz="1"/>
              <w:left w:val="single" w:color="C8D6E5" w:sz="1"/>
              <w:bottom w:val="single" w:color="C8D6E5" w:sz="1"/>
              <w:right w:val="single" w:color="C8D6E5" w:sz="1"/>
            </w:tcBorders>
            <w:shd w:fill="D6E4F0" w:val="clear"/>
            <w:tcMar>
              <w:top w:type="dxa" w:w="80"/>
              <w:left w:type="dxa" w:w="60"/>
              <w:bottom w:type="dxa" w:w="80"/>
              <w:right w:type="dxa" w:w="60"/>
            </w:tcMar>
            <w:vAlign w:val="center"/>
          </w:tcPr>
          <w:p>
            <w:pPr>
              <w:jc w:val="center"/>
            </w:pPr>
            <w:r>
              <w:rPr>
                <w:rFonts w:ascii="Arial" w:cs="Arial" w:eastAsia="Arial" w:hAnsi="Arial"/>
                <w:b/>
                <w:bCs/>
                <w:color w:val="2E6DA4"/>
                <w:sz w:val="15"/>
                <w:szCs w:val="15"/>
              </w:rPr>
              <w:t xml:space="preserve">✔ Platform</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Agency markup + sub-agent markup + service fee. All platform-side logic.</w:t>
            </w:r>
          </w:p>
        </w:tc>
      </w:tr>
    </w:tbl>
    <w:p>
      <w:pPr>
        <w:spacing w:before="0" w:after="0"/>
      </w:pPr>
      <w:r>
        <w:rPr>
          <w:sz w:val="12"/>
          <w:szCs w:val="12"/>
        </w:rPr>
        <w:t xml:space="preserve"/>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9752"/>
      </w:tblGrid>
      <w:tr>
        <w:tc>
          <w:tcPr>
            <w:tcW w:type="dxa" w:w="9752"/>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before="0" w:after="80"/>
            </w:pPr>
            <w:r>
              <w:rPr>
                <w:rFonts w:ascii="Arial" w:cs="Arial" w:eastAsia="Arial" w:hAnsi="Arial"/>
                <w:b/>
                <w:bCs/>
                <w:color w:val="1A3C6B"/>
                <w:sz w:val="22"/>
                <w:szCs w:val="22"/>
              </w:rPr>
              <w:t xml:space="preserve">Commission Model Summary</w:t>
            </w:r>
          </w:p>
          <w:p>
            <w:pPr>
              <w:spacing w:before="40" w:after="40"/>
            </w:pPr>
            <w:r>
              <w:rPr>
                <w:rFonts w:ascii="Arial" w:cs="Arial" w:eastAsia="Arial" w:hAnsi="Arial"/>
                <w:color w:val="1A1A1A"/>
                <w:sz w:val="19"/>
                <w:szCs w:val="19"/>
              </w:rPr>
              <w:t xml:space="preserve">SELF-SERVICE: No commission income from Amadeus. Only public fares. Revenue model = markup on published fares + service fees charged by your platform.</w:t>
            </w:r>
          </w:p>
          <w:p>
            <w:pPr>
              <w:spacing w:before="40" w:after="40"/>
            </w:pPr>
            <w:r>
              <w:rPr>
                <w:rFonts w:ascii="Arial" w:cs="Arial" w:eastAsia="Arial" w:hAnsi="Arial"/>
                <w:color w:val="1A1A1A"/>
                <w:sz w:val="19"/>
                <w:szCs w:val="19"/>
              </w:rPr>
              <w:t xml:space="preserve"/>
            </w:r>
          </w:p>
          <w:p>
            <w:pPr>
              <w:spacing w:before="40" w:after="40"/>
            </w:pPr>
            <w:r>
              <w:rPr>
                <w:rFonts w:ascii="Arial" w:cs="Arial" w:eastAsia="Arial" w:hAnsi="Arial"/>
                <w:color w:val="1A1A1A"/>
                <w:sz w:val="19"/>
                <w:szCs w:val="19"/>
              </w:rPr>
              <w:t xml:space="preserve">ENTERPRISE: Three revenue streams open up — (1) GDS segment incentives from Amadeus (per issued ticket), (2) spread on negotiated/net fares from consolidator agreements, (3) better NDC fares enabling competitive pricing for end customers.</w:t>
            </w:r>
          </w:p>
          <w:p>
            <w:pPr>
              <w:spacing w:before="40" w:after="40"/>
            </w:pPr>
            <w:r>
              <w:rPr>
                <w:rFonts w:ascii="Arial" w:cs="Arial" w:eastAsia="Arial" w:hAnsi="Arial"/>
                <w:color w:val="1A1A1A"/>
                <w:sz w:val="19"/>
                <w:szCs w:val="19"/>
              </w:rPr>
              <w:t xml:space="preserve"/>
            </w:r>
          </w:p>
          <w:p>
            <w:pPr>
              <w:spacing w:before="40" w:after="40"/>
            </w:pPr>
            <w:r>
              <w:rPr>
                <w:rFonts w:ascii="Arial" w:cs="Arial" w:eastAsia="Arial" w:hAnsi="Arial"/>
                <w:color w:val="1A1A1A"/>
                <w:sz w:val="19"/>
                <w:szCs w:val="19"/>
              </w:rPr>
              <w:t xml:space="preserve">BSP SETTLEMENT: Enterprise agencies settle with all airlines via a single BSP cycle (bi-weekly). Reduces admin overhead vs paying each airline separately.</w:t>
            </w:r>
          </w:p>
          <w:p>
            <w:pPr>
              <w:spacing w:before="40" w:after="40"/>
            </w:pPr>
            <w:r>
              <w:rPr>
                <w:rFonts w:ascii="Arial" w:cs="Arial" w:eastAsia="Arial" w:hAnsi="Arial"/>
                <w:color w:val="1A1A1A"/>
                <w:sz w:val="19"/>
                <w:szCs w:val="19"/>
              </w:rPr>
              <w:t xml:space="preserve"/>
            </w:r>
          </w:p>
          <w:p>
            <w:pPr>
              <w:spacing w:before="40" w:after="40"/>
            </w:pPr>
            <w:r>
              <w:rPr>
                <w:rFonts w:ascii="Arial" w:cs="Arial" w:eastAsia="Arial" w:hAnsi="Arial"/>
                <w:color w:val="1A1A1A"/>
                <w:sz w:val="19"/>
                <w:szCs w:val="19"/>
              </w:rPr>
              <w:t xml:space="preserve">IATA ACCREDITATION TIMELINE: Obtaining IATA accreditation typically takes 3–6 months including background checks, financial guarantees, and Amadeus contracting.</w:t>
            </w:r>
          </w:p>
        </w:tc>
      </w:tr>
    </w:tbl>
    <w:p>
      <w:pPr>
        <w:spacing w:before="0" w:after="0"/>
      </w:pPr>
      <w:r>
        <w:rPr>
          <w:sz w:val="24"/>
          <w:szCs w:val="24"/>
        </w:rPr>
        <w:t xml:space="preserve"/>
      </w:r>
    </w:p>
    <w:p>
      <w:pPr>
        <w:pStyle w:val="Heading1"/>
        <w:pBdr>
          <w:bottom w:val="single" w:color="2E6DA4" w:sz="4" w:space="6"/>
        </w:pBdr>
        <w:spacing w:before="400" w:after="160"/>
      </w:pPr>
      <w:r>
        <w:rPr>
          <w:rFonts w:ascii="Arial" w:cs="Arial" w:eastAsia="Arial" w:hAnsi="Arial"/>
          <w:b/>
          <w:bCs/>
          <w:color w:val="1A3C6B"/>
          <w:sz w:val="28"/>
          <w:szCs w:val="28"/>
        </w:rPr>
        <w:t xml:space="preserve">6. PNR Management &amp; Trip Tracking</w:t>
      </w:r>
    </w:p>
    <w:p>
      <w:pPr>
        <w:pStyle w:val="Heading2"/>
        <w:spacing w:before="280" w:after="100"/>
      </w:pPr>
      <w:r>
        <w:rPr>
          <w:rFonts w:ascii="Arial" w:cs="Arial" w:eastAsia="Arial" w:hAnsi="Arial"/>
          <w:b/>
          <w:bCs/>
          <w:color w:val="2E6DA4"/>
          <w:sz w:val="24"/>
          <w:szCs w:val="24"/>
        </w:rPr>
        <w:t xml:space="preserve">6.1 PNR Creation &amp; Lifecycle</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268"/>
        <w:gridCol w:w="2155"/>
        <w:gridCol w:w="1247"/>
        <w:gridCol w:w="1247"/>
        <w:gridCol w:w="2835"/>
      </w:tblGrid>
      <w:tr>
        <w:trPr>
          <w:tblHeader/>
        </w:trPr>
        <w:tc>
          <w:tcPr>
            <w:tcW w:type="dxa" w:w="2268"/>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Feature / Capability</w:t>
            </w:r>
          </w:p>
        </w:tc>
        <w:tc>
          <w:tcPr>
            <w:tcW w:type="dxa" w:w="215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Amadeus API / Product</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Self-Service</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Enterprise</w:t>
            </w:r>
          </w:p>
        </w:tc>
        <w:tc>
          <w:tcPr>
            <w:tcW w:type="dxa" w:w="283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Notes &amp; Details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PNR Creation</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Flight Create Orders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Creates booking in airline inventory. Returns unique Amadeus Order ID (= PNR reference).</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Retrieve PNR / Full Booking Details</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Flight Order Management API (GET)</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Full itinerary, passenger details, pricing, ancillaries, SSRs all returned.</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Cancel PNR (Before Ticketing)</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Flight Order Management API (DELETE)</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Instant API cancellation. Inventory released immediately.</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Cancel PNR (After Ticketing)</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Enterprise GDS / Consolidator</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Self-Service: offline via consolidator only. Enterprise: full lifecycle cancel via GDS.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Void Ticket (Same-Day Issuance)</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Enterprise / Consolidator</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Day-of void before BSP cutoff. Not available Self-Service.</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Up to 9 Passengers per PNR</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Flight Create Orders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Standard limit. For 10+ passengers, split into multiple PNRs.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Group Bookings (10+ PAX)</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Enterprise Group Booking</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Dedicated group PNR workflow with seat blocking and allocation. Enterprise only.</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SSR / OSI Elements (Special Requests)</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Flight Create Orders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Wheelchair, dietary, infant, UM, medical, VIP — standard SSR/OSI codes.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Infant / Child Booking</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Flight Create Orders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Age-based fare types. Infant on lap vs own seat handled. Both tiers.</w:t>
            </w:r>
          </w:p>
        </w:tc>
      </w:tr>
    </w:tbl>
    <w:p>
      <w:pPr>
        <w:spacing w:before="0" w:after="0"/>
      </w:pPr>
      <w:r>
        <w:rPr>
          <w:sz w:val="24"/>
          <w:szCs w:val="24"/>
        </w:rPr>
        <w:t xml:space="preserve"/>
      </w:r>
    </w:p>
    <w:p>
      <w:pPr>
        <w:pStyle w:val="Heading2"/>
        <w:spacing w:before="280" w:after="100"/>
      </w:pPr>
      <w:r>
        <w:rPr>
          <w:rFonts w:ascii="Arial" w:cs="Arial" w:eastAsia="Arial" w:hAnsi="Arial"/>
          <w:b/>
          <w:bCs/>
          <w:color w:val="2E6DA4"/>
          <w:sz w:val="24"/>
          <w:szCs w:val="24"/>
        </w:rPr>
        <w:t xml:space="preserve">6.2 Live Flight Status &amp; PNR Tracking Throughout the Journey</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268"/>
        <w:gridCol w:w="2155"/>
        <w:gridCol w:w="1247"/>
        <w:gridCol w:w="1247"/>
        <w:gridCol w:w="2835"/>
      </w:tblGrid>
      <w:tr>
        <w:trPr>
          <w:tblHeader/>
        </w:trPr>
        <w:tc>
          <w:tcPr>
            <w:tcW w:type="dxa" w:w="2268"/>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Feature / Capability</w:t>
            </w:r>
          </w:p>
        </w:tc>
        <w:tc>
          <w:tcPr>
            <w:tcW w:type="dxa" w:w="215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Amadeus API / Product</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Self-Service</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Enterprise</w:t>
            </w:r>
          </w:p>
        </w:tc>
        <w:tc>
          <w:tcPr>
            <w:tcW w:type="dxa" w:w="283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Notes &amp; Details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Real-Time Flight Status</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On-Demand Flight Status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Live delays, cancellations, gate changes, actual dep/arr times from airlines.</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Flight Delay Alerts (Push)</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Status API + Platform Notification Layer</w:t>
            </w:r>
          </w:p>
        </w:tc>
        <w:tc>
          <w:tcPr>
            <w:tcW w:type="dxa" w:w="1247"/>
            <w:tcBorders>
              <w:top w:val="single" w:color="C8D6E5" w:sz="1"/>
              <w:left w:val="single" w:color="C8D6E5" w:sz="1"/>
              <w:bottom w:val="single" w:color="C8D6E5" w:sz="1"/>
              <w:right w:val="single" w:color="C8D6E5" w:sz="1"/>
            </w:tcBorders>
            <w:shd w:fill="D6E4F0" w:val="clear"/>
            <w:tcMar>
              <w:top w:type="dxa" w:w="80"/>
              <w:left w:type="dxa" w:w="60"/>
              <w:bottom w:type="dxa" w:w="80"/>
              <w:right w:type="dxa" w:w="60"/>
            </w:tcMar>
            <w:vAlign w:val="center"/>
          </w:tcPr>
          <w:p>
            <w:pPr>
              <w:jc w:val="center"/>
            </w:pPr>
            <w:r>
              <w:rPr>
                <w:rFonts w:ascii="Arial" w:cs="Arial" w:eastAsia="Arial" w:hAnsi="Arial"/>
                <w:b/>
                <w:bCs/>
                <w:color w:val="2E6DA4"/>
                <w:sz w:val="15"/>
                <w:szCs w:val="15"/>
              </w:rPr>
              <w:t xml:space="preserve">✔ Platform</w:t>
            </w:r>
          </w:p>
        </w:tc>
        <w:tc>
          <w:tcPr>
            <w:tcW w:type="dxa" w:w="1247"/>
            <w:tcBorders>
              <w:top w:val="single" w:color="C8D6E5" w:sz="1"/>
              <w:left w:val="single" w:color="C8D6E5" w:sz="1"/>
              <w:bottom w:val="single" w:color="C8D6E5" w:sz="1"/>
              <w:right w:val="single" w:color="C8D6E5" w:sz="1"/>
            </w:tcBorders>
            <w:shd w:fill="D6E4F0" w:val="clear"/>
            <w:tcMar>
              <w:top w:type="dxa" w:w="80"/>
              <w:left w:type="dxa" w:w="60"/>
              <w:bottom w:type="dxa" w:w="80"/>
              <w:right w:type="dxa" w:w="60"/>
            </w:tcMar>
            <w:vAlign w:val="center"/>
          </w:tcPr>
          <w:p>
            <w:pPr>
              <w:jc w:val="center"/>
            </w:pPr>
            <w:r>
              <w:rPr>
                <w:rFonts w:ascii="Arial" w:cs="Arial" w:eastAsia="Arial" w:hAnsi="Arial"/>
                <w:b/>
                <w:bCs/>
                <w:color w:val="2E6DA4"/>
                <w:sz w:val="15"/>
                <w:szCs w:val="15"/>
              </w:rPr>
              <w:t xml:space="preserve">✔ Platform</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Amadeus provides data. Your platform builds email/SMS/push alerts on top.</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Schedule Change Monitoring</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Enterprise Queue Management</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Not available Self-Service. Enterprise: schedule changes queued to agency desk automatically.</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Check-In Status</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N/A — Airline-side only</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Check-in is controlled by the airline directly. Not accessible via any Amadeus API.</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Multi-Segment Trip Tracking</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On-Demand Flight Status API (per segment)</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Call per leg. Build a trip view showing all segment statuses in one screen.</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Airport &amp; Terminal Information</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Airport &amp; City Search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IATA codes, nearby airports, airport name, country. Both tiers.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Aircraft Information</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Returned in Flight Offers Search response</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Aircraft type, number of seats, amenities per flight returned inline.</w:t>
            </w:r>
          </w:p>
        </w:tc>
      </w:tr>
    </w:tbl>
    <w:p>
      <w:pPr>
        <w:spacing w:before="0" w:after="0"/>
      </w:pPr>
      <w:r>
        <w:rPr>
          <w:sz w:val="24"/>
          <w:szCs w:val="24"/>
        </w:rPr>
        <w:t xml:space="preserve"/>
      </w:r>
    </w:p>
    <w:p>
      <w:pPr>
        <w:pStyle w:val="Heading1"/>
        <w:pBdr>
          <w:bottom w:val="single" w:color="2E6DA4" w:sz="4" w:space="6"/>
        </w:pBdr>
        <w:spacing w:before="400" w:after="160"/>
      </w:pPr>
      <w:r>
        <w:rPr>
          <w:rFonts w:ascii="Arial" w:cs="Arial" w:eastAsia="Arial" w:hAnsi="Arial"/>
          <w:b/>
          <w:bCs/>
          <w:color w:val="1A3C6B"/>
          <w:sz w:val="28"/>
          <w:szCs w:val="28"/>
        </w:rPr>
        <w:t xml:space="preserve">7. Booking Hold &amp; Ticketing Time Limits</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9752"/>
      </w:tblGrid>
      <w:tr>
        <w:tc>
          <w:tcPr>
            <w:tcW w:type="dxa" w:w="9752"/>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before="0" w:after="80"/>
            </w:pPr>
            <w:r>
              <w:rPr>
                <w:rFonts w:ascii="Arial" w:cs="Arial" w:eastAsia="Arial" w:hAnsi="Arial"/>
                <w:b/>
                <w:bCs/>
                <w:color w:val="1A3C6B"/>
                <w:sz w:val="22"/>
                <w:szCs w:val="22"/>
              </w:rPr>
              <w:t xml:space="preserve">How Booking Holds Work in Amadeus (Both Tiers)</w:t>
            </w:r>
          </w:p>
          <w:p>
            <w:pPr>
              <w:spacing w:before="40" w:after="40"/>
            </w:pPr>
            <w:r>
              <w:rPr>
                <w:rFonts w:ascii="Arial" w:cs="Arial" w:eastAsia="Arial" w:hAnsi="Arial"/>
                <w:color w:val="1A1A1A"/>
                <w:sz w:val="19"/>
                <w:szCs w:val="19"/>
              </w:rPr>
              <w:t xml:space="preserve">Amadeus has a well-defined Automated Ticketing Limit (ATL) system that governs how long a booking can be held without issuing a ticket.</w:t>
            </w:r>
          </w:p>
          <w:p>
            <w:pPr>
              <w:spacing w:before="40" w:after="40"/>
            </w:pPr>
            <w:r>
              <w:rPr>
                <w:rFonts w:ascii="Arial" w:cs="Arial" w:eastAsia="Arial" w:hAnsi="Arial"/>
                <w:color w:val="1A1A1A"/>
                <w:sz w:val="19"/>
                <w:szCs w:val="19"/>
              </w:rPr>
              <w:t xml:space="preserve"/>
            </w:r>
          </w:p>
          <w:p>
            <w:pPr>
              <w:spacing w:before="40" w:after="40"/>
            </w:pPr>
            <w:r>
              <w:rPr>
                <w:rFonts w:ascii="Arial" w:cs="Arial" w:eastAsia="Arial" w:hAnsi="Arial"/>
                <w:color w:val="1A1A1A"/>
                <w:sz w:val="19"/>
                <w:szCs w:val="19"/>
              </w:rPr>
              <w:t xml:space="preserve">OPW (Optional Warning Element): Generates an automatic warning in the agent's queue 24 hours before the ticketing deadline. PNR is placed on Queue 1C7.</w:t>
            </w:r>
          </w:p>
          <w:p>
            <w:pPr>
              <w:spacing w:before="40" w:after="40"/>
            </w:pPr>
            <w:r>
              <w:rPr>
                <w:rFonts w:ascii="Arial" w:cs="Arial" w:eastAsia="Arial" w:hAnsi="Arial"/>
                <w:color w:val="1A1A1A"/>
                <w:sz w:val="19"/>
                <w:szCs w:val="19"/>
              </w:rPr>
              <w:t xml:space="preserve">OPC (Optional Cancellation Element): If the ticket is not issued by the ticketing deadline, Amadeus automatically cancels all air segments and releases inventory back to the airline. PNR is placed on Queue 1C8 as a record.</w:t>
            </w:r>
          </w:p>
          <w:p>
            <w:pPr>
              <w:spacing w:before="40" w:after="40"/>
            </w:pPr>
            <w:r>
              <w:rPr>
                <w:rFonts w:ascii="Arial" w:cs="Arial" w:eastAsia="Arial" w:hAnsi="Arial"/>
                <w:color w:val="1A1A1A"/>
                <w:sz w:val="19"/>
                <w:szCs w:val="19"/>
              </w:rPr>
              <w:t xml:space="preserve"/>
            </w:r>
          </w:p>
          <w:p>
            <w:pPr>
              <w:spacing w:before="40" w:after="40"/>
            </w:pPr>
            <w:r>
              <w:rPr>
                <w:rFonts w:ascii="Arial" w:cs="Arial" w:eastAsia="Arial" w:hAnsi="Arial"/>
                <w:color w:val="1A1A1A"/>
                <w:sz w:val="19"/>
                <w:szCs w:val="19"/>
              </w:rPr>
              <w:t xml:space="preserve">AIRLINE-DEFINED TTL: Each airline sets its own Ticket Time Limit (TTL) — ranging from a few hours to 72 hours, depending on route, fare type, and booking lead time. Amadeus enforces these automatically.</w:t>
            </w:r>
          </w:p>
          <w:p>
            <w:pPr>
              <w:spacing w:before="40" w:after="40"/>
            </w:pPr>
            <w:r>
              <w:rPr>
                <w:rFonts w:ascii="Arial" w:cs="Arial" w:eastAsia="Arial" w:hAnsi="Arial"/>
                <w:color w:val="1A1A1A"/>
                <w:sz w:val="19"/>
                <w:szCs w:val="19"/>
              </w:rPr>
              <w:t xml:space="preserve">CUSTOM PLATFORM HOLD PERIODS: Your platform can set a stricter OPC deadline than the airline's TTL — e.g., forcing agents to confirm within 2 hours even if the airline allows 24. Full control.</w:t>
            </w:r>
          </w:p>
        </w:tc>
      </w:tr>
    </w:tbl>
    <w:p>
      <w:pPr>
        <w:spacing w:before="0" w:after="0"/>
      </w:pPr>
      <w:r>
        <w:rPr>
          <w:sz w:val="12"/>
          <w:szCs w:val="12"/>
        </w:rPr>
        <w:t xml:space="preserve"/>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268"/>
        <w:gridCol w:w="2155"/>
        <w:gridCol w:w="1247"/>
        <w:gridCol w:w="1247"/>
        <w:gridCol w:w="2835"/>
      </w:tblGrid>
      <w:tr>
        <w:trPr>
          <w:tblHeader/>
        </w:trPr>
        <w:tc>
          <w:tcPr>
            <w:tcW w:type="dxa" w:w="2268"/>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Feature / Capability</w:t>
            </w:r>
          </w:p>
        </w:tc>
        <w:tc>
          <w:tcPr>
            <w:tcW w:type="dxa" w:w="215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Amadeus API / Product</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Self-Service</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Enterprise</w:t>
            </w:r>
          </w:p>
        </w:tc>
        <w:tc>
          <w:tcPr>
            <w:tcW w:type="dxa" w:w="283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Notes &amp; Details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Airline-Defined Ticketing Time Limit</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ATL / OPC / OPW System</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Both tiers use the same ATL mechanism. Airline defines TTL; Amadeus enforces it.</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Pre-Deadline Warning to Agent</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OPW Queue Element</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24-hour prior warning sent to agency queue. Both tiers.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Auto-Release of Held Inventory</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OPC + ATL System</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Automatic if not ticketed. Self-Service: via consolidator. Enterprise: direct BSP.</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Platform-Defined Custom Hold Period</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OPC Element (custom TTL)</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Both tiers support custom OPC shorter than airline TTL.</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TTL Visibility / Countdown in UI</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PNR OPC/OPW Elements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Deadline visible in PNR; your platform can surface as a countdown timer to agents.</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Hold Without Payment (Pay Later)</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ATL System + Consolidator</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Hold + pay-later workflows with payment guarantee via consolidator. Enterprise preferred.</w:t>
            </w:r>
          </w:p>
        </w:tc>
      </w:tr>
    </w:tbl>
    <w:p>
      <w:pPr>
        <w:spacing w:before="0" w:after="0"/>
      </w:pPr>
      <w:r>
        <w:rPr>
          <w:sz w:val="24"/>
          <w:szCs w:val="24"/>
        </w:rPr>
        <w:t xml:space="preserve"/>
      </w:r>
    </w:p>
    <w:p>
      <w:pPr>
        <w:pStyle w:val="Heading1"/>
        <w:pBdr>
          <w:bottom w:val="single" w:color="2E6DA4" w:sz="4" w:space="6"/>
        </w:pBdr>
        <w:spacing w:before="400" w:after="160"/>
      </w:pPr>
      <w:r>
        <w:rPr>
          <w:rFonts w:ascii="Arial" w:cs="Arial" w:eastAsia="Arial" w:hAnsi="Arial"/>
          <w:b/>
          <w:bCs/>
          <w:color w:val="1A3C6B"/>
          <w:sz w:val="28"/>
          <w:szCs w:val="28"/>
        </w:rPr>
        <w:t xml:space="preserve">8. Flight Date Modification</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268"/>
        <w:gridCol w:w="2155"/>
        <w:gridCol w:w="1247"/>
        <w:gridCol w:w="1247"/>
        <w:gridCol w:w="2835"/>
      </w:tblGrid>
      <w:tr>
        <w:trPr>
          <w:tblHeader/>
        </w:trPr>
        <w:tc>
          <w:tcPr>
            <w:tcW w:type="dxa" w:w="2268"/>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Feature / Capability</w:t>
            </w:r>
          </w:p>
        </w:tc>
        <w:tc>
          <w:tcPr>
            <w:tcW w:type="dxa" w:w="215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Amadeus API / Product</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Self-Service</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Enterprise</w:t>
            </w:r>
          </w:p>
        </w:tc>
        <w:tc>
          <w:tcPr>
            <w:tcW w:type="dxa" w:w="283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Notes &amp; Details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Date Change Before Ticketing</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Re-search + Re-price + Rebook</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Cancel original order, re-search, re-price, create new order. Standard workflow.</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Voluntary Date Change After Ticketing</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Amadeus Ticket Changer (ATC)</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Self-Service: must go offline to consolidator. Enterprise: ATC auto-calculates fare difference + penalty per ATPCO rules. Issues new ticket.</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Involuntary Exchange (Airline Sched. Change)</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Enterprise Queue + ATC</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Airline-initiated changes queued to agency. Enterprise: waiver codes applied, reissue automated. Self-Service: consolidator handles.</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Name Change / Correction</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Enterprise / Airline-specific</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Post-ticketing name corrections are airline-dependent. Enterprise: GDS handles; waiver required for most carriers.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Route Change / Rerouting</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ATC + Enterprise GDS</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Rerouting after ticketing requires ATC. Not available Self-Service post-ticketing.</w:t>
            </w:r>
          </w:p>
        </w:tc>
      </w:tr>
    </w:tbl>
    <w:p>
      <w:pPr>
        <w:spacing w:before="0" w:after="0"/>
      </w:pPr>
      <w:r>
        <w:rPr>
          <w:sz w:val="24"/>
          <w:szCs w:val="24"/>
        </w:rPr>
        <w:t xml:space="preserve"/>
      </w:r>
    </w:p>
    <w:p>
      <w:pPr>
        <w:pStyle w:val="Heading1"/>
        <w:pBdr>
          <w:bottom w:val="single" w:color="2E6DA4" w:sz="4" w:space="6"/>
        </w:pBdr>
        <w:spacing w:before="400" w:after="160"/>
      </w:pPr>
      <w:r>
        <w:rPr>
          <w:rFonts w:ascii="Arial" w:cs="Arial" w:eastAsia="Arial" w:hAnsi="Arial"/>
          <w:b/>
          <w:bCs/>
          <w:color w:val="1A3C6B"/>
          <w:sz w:val="28"/>
          <w:szCs w:val="28"/>
        </w:rPr>
        <w:t xml:space="preserve">9. Cancellation &amp; Refund Process</w:t>
      </w:r>
    </w:p>
    <w:p>
      <w:pPr>
        <w:pStyle w:val="Heading2"/>
        <w:spacing w:before="280" w:after="100"/>
      </w:pPr>
      <w:r>
        <w:rPr>
          <w:rFonts w:ascii="Arial" w:cs="Arial" w:eastAsia="Arial" w:hAnsi="Arial"/>
          <w:b/>
          <w:bCs/>
          <w:color w:val="2E6DA4"/>
          <w:sz w:val="24"/>
          <w:szCs w:val="24"/>
        </w:rPr>
        <w:t xml:space="preserve">9.1 Cancellation Capabilities by Tier</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268"/>
        <w:gridCol w:w="2155"/>
        <w:gridCol w:w="1247"/>
        <w:gridCol w:w="1247"/>
        <w:gridCol w:w="2835"/>
      </w:tblGrid>
      <w:tr>
        <w:trPr>
          <w:tblHeader/>
        </w:trPr>
        <w:tc>
          <w:tcPr>
            <w:tcW w:type="dxa" w:w="2268"/>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Feature / Capability</w:t>
            </w:r>
          </w:p>
        </w:tc>
        <w:tc>
          <w:tcPr>
            <w:tcW w:type="dxa" w:w="215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Amadeus API / Product</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Self-Service</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Enterprise</w:t>
            </w:r>
          </w:p>
        </w:tc>
        <w:tc>
          <w:tcPr>
            <w:tcW w:type="dxa" w:w="283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Notes &amp; Details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Cancel Booking (Pre-Ticketing)</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Flight Order Management API (DELETE)</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Instant cancel via API. Inventory released immediately.</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Cancel Booking (Post-Ticketing)</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Enterprise GDS / Consolidator</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Self-Service: offline via consolidator. Enterprise: full GDS lifecycle cancellation.</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Refund Eligibility Check (Fare Rules)</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Flight Offers Price API</w:t>
            </w:r>
          </w:p>
        </w:tc>
        <w:tc>
          <w:tcPr>
            <w:tcW w:type="dxa" w:w="1247"/>
            <w:tcBorders>
              <w:top w:val="single" w:color="C8D6E5" w:sz="1"/>
              <w:left w:val="single" w:color="C8D6E5" w:sz="1"/>
              <w:bottom w:val="single" w:color="C8D6E5" w:sz="1"/>
              <w:right w:val="single" w:color="C8D6E5" w:sz="1"/>
            </w:tcBorders>
            <w:shd w:fill="FDE8D4" w:val="clear"/>
            <w:tcMar>
              <w:top w:type="dxa" w:w="80"/>
              <w:left w:type="dxa" w:w="60"/>
              <w:bottom w:type="dxa" w:w="80"/>
              <w:right w:type="dxa" w:w="60"/>
            </w:tcMar>
            <w:vAlign w:val="center"/>
          </w:tcPr>
          <w:p>
            <w:pPr>
              <w:jc w:val="center"/>
            </w:pPr>
            <w:r>
              <w:rPr>
                <w:rFonts w:ascii="Arial" w:cs="Arial" w:eastAsia="Arial" w:hAnsi="Arial"/>
                <w:b/>
                <w:bCs/>
                <w:color w:val="C0580A"/>
                <w:sz w:val="15"/>
                <w:szCs w:val="15"/>
              </w:rPr>
              <w:t xml:space="preserve">⚠ Partial</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Full</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SS: Raw ATPCO text format — requires parsing. | ENT: Structured Cat 33 refund rules. Machine-readable penalty amounts.</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Partial Refund (Unused Segment)</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ATC Refund + Enterprise GDS</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Partial itinerary refund for unused sectors. Enterprise only.</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Void Ticket (Same-Day, Pre-BSP)</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Enterprise / Consolidator</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Self-Service: consolidator only. Enterprise: direct void before BSP cutoff.</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Waiver / Override Code Application</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Enterprise GDS Queue</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For schedule changes, irregular ops. Waiver codes applied at GDS level. Enterprise only.</w:t>
            </w:r>
          </w:p>
        </w:tc>
      </w:tr>
    </w:tbl>
    <w:p>
      <w:pPr>
        <w:spacing w:before="0" w:after="0"/>
      </w:pPr>
      <w:r>
        <w:rPr>
          <w:sz w:val="24"/>
          <w:szCs w:val="24"/>
        </w:rPr>
        <w:t xml:space="preserve"/>
      </w:r>
    </w:p>
    <w:p>
      <w:pPr>
        <w:pStyle w:val="Heading2"/>
        <w:spacing w:before="280" w:after="100"/>
      </w:pPr>
      <w:r>
        <w:rPr>
          <w:rFonts w:ascii="Arial" w:cs="Arial" w:eastAsia="Arial" w:hAnsi="Arial"/>
          <w:b/>
          <w:bCs/>
          <w:color w:val="2E6DA4"/>
          <w:sz w:val="24"/>
          <w:szCs w:val="24"/>
        </w:rPr>
        <w:t xml:space="preserve">9.2 Refund Status Pipeline — Tier-by-Tier Breakdown</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9752"/>
      </w:tblGrid>
      <w:tr>
        <w:tc>
          <w:tcPr>
            <w:tcW w:type="dxa" w:w="9752"/>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before="0" w:after="80"/>
            </w:pPr>
            <w:r>
              <w:rPr>
                <w:rFonts w:ascii="Arial" w:cs="Arial" w:eastAsia="Arial" w:hAnsi="Arial"/>
                <w:b/>
                <w:bCs/>
                <w:color w:val="1A3C6B"/>
                <w:sz w:val="22"/>
                <w:szCs w:val="22"/>
              </w:rPr>
              <w:t xml:space="preserve">Does Amadeus Provide Granular Refund Status Updates?</w:t>
            </w:r>
          </w:p>
          <w:p>
            <w:pPr>
              <w:spacing w:before="40" w:after="40"/>
            </w:pPr>
            <w:r>
              <w:rPr>
                <w:rFonts w:ascii="Arial" w:cs="Arial" w:eastAsia="Arial" w:hAnsi="Arial"/>
                <w:color w:val="1A1A1A"/>
                <w:sz w:val="19"/>
                <w:szCs w:val="19"/>
              </w:rPr>
              <w:t xml:space="preserve">DIRECT ANSWER: Amadeus provides structured refund calculation and processing — but the customer-facing step-by-step status pipeline must be built by your platform.</w:t>
            </w:r>
          </w:p>
          <w:p>
            <w:pPr>
              <w:spacing w:before="40" w:after="40"/>
            </w:pPr>
            <w:r>
              <w:rPr>
                <w:rFonts w:ascii="Arial" w:cs="Arial" w:eastAsia="Arial" w:hAnsi="Arial"/>
                <w:color w:val="1A1A1A"/>
                <w:sz w:val="19"/>
                <w:szCs w:val="19"/>
              </w:rPr>
              <w:t xml:space="preserve"/>
            </w:r>
          </w:p>
          <w:p>
            <w:pPr>
              <w:spacing w:before="40" w:after="40"/>
            </w:pPr>
            <w:r>
              <w:rPr>
                <w:rFonts w:ascii="Arial" w:cs="Arial" w:eastAsia="Arial" w:hAnsi="Arial"/>
                <w:color w:val="1A1A1A"/>
                <w:sz w:val="19"/>
                <w:szCs w:val="19"/>
              </w:rPr>
              <w:t xml:space="preserve">SELF-SERVICE: Refund calculation and initiation handled offline by your consolidator partner. Amadeus Self-Service APIs have no direct refund API endpoint. Status tracking must be built by polling your consolidator.</w:t>
            </w:r>
          </w:p>
          <w:p>
            <w:pPr>
              <w:spacing w:before="40" w:after="40"/>
            </w:pPr>
            <w:r>
              <w:rPr>
                <w:rFonts w:ascii="Arial" w:cs="Arial" w:eastAsia="Arial" w:hAnsi="Arial"/>
                <w:color w:val="1A1A1A"/>
                <w:sz w:val="19"/>
                <w:szCs w:val="19"/>
              </w:rPr>
              <w:t xml:space="preserve"/>
            </w:r>
          </w:p>
          <w:p>
            <w:pPr>
              <w:spacing w:before="40" w:after="40"/>
            </w:pPr>
            <w:r>
              <w:rPr>
                <w:rFonts w:ascii="Arial" w:cs="Arial" w:eastAsia="Arial" w:hAnsi="Arial"/>
                <w:color w:val="1A1A1A"/>
                <w:sz w:val="19"/>
                <w:szCs w:val="19"/>
              </w:rPr>
              <w:t xml:space="preserve">ENTERPRISE: Amadeus Ticket Changer (ATC) Refund automatically calculates the exact refund amount per ATPCO Category 33 (Voluntary Refunds), Category 31 (penalties), and any applicable waiver codes. The e-ticket coupon status transitions from 'E' (Exchanged/Issued) to 'R' (Refunded) — this is trackable via the PNR. BSPlink provides consolidated settlement confirmation.</w:t>
            </w:r>
          </w:p>
          <w:p>
            <w:pPr>
              <w:spacing w:before="40" w:after="40"/>
            </w:pPr>
            <w:r>
              <w:rPr>
                <w:rFonts w:ascii="Arial" w:cs="Arial" w:eastAsia="Arial" w:hAnsi="Arial"/>
                <w:color w:val="1A1A1A"/>
                <w:sz w:val="19"/>
                <w:szCs w:val="19"/>
              </w:rPr>
              <w:t xml:space="preserve"/>
            </w:r>
          </w:p>
          <w:p>
            <w:pPr>
              <w:spacing w:before="40" w:after="40"/>
            </w:pPr>
            <w:r>
              <w:rPr>
                <w:rFonts w:ascii="Arial" w:cs="Arial" w:eastAsia="Arial" w:hAnsi="Arial"/>
                <w:color w:val="1A1A1A"/>
                <w:sz w:val="19"/>
                <w:szCs w:val="19"/>
              </w:rPr>
              <w:t xml:space="preserve">WHAT YOUR PLATFORM MUST BUILD (both tiers): The customer-facing status pipeline — Submitted → Under Review → Approved → Allocated → Completed — is a UX and workflow layer. Amadeus/consolidator gives you data points; your platform converts them into push notifications and a progress UI.</w:t>
            </w:r>
          </w:p>
        </w:tc>
      </w:tr>
    </w:tbl>
    <w:p>
      <w:pPr>
        <w:spacing w:before="0" w:after="0"/>
      </w:pPr>
      <w:r>
        <w:rPr>
          <w:sz w:val="12"/>
          <w:szCs w:val="12"/>
        </w:rPr>
        <w:t xml:space="preserve"/>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454"/>
        <w:gridCol w:w="1985"/>
        <w:gridCol w:w="3119"/>
        <w:gridCol w:w="2268"/>
        <w:gridCol w:w="1928"/>
      </w:tblGrid>
      <w:tr>
        <w:trPr>
          <w:tblHeader/>
        </w:trPr>
        <w:tc>
          <w:tcPr>
            <w:tcW w:type="dxa" w:w="454"/>
            <w:tcBorders>
              <w:top w:val="single" w:color="C8D6E5" w:sz="1"/>
              <w:left w:val="single" w:color="C8D6E5" w:sz="1"/>
              <w:bottom w:val="single" w:color="C8D6E5" w:sz="1"/>
              <w:right w:val="single" w:color="C8D6E5" w:sz="1"/>
            </w:tcBorders>
            <w:shd w:fill="1A3C6B" w:val="clear"/>
            <w:tcMar>
              <w:top w:type="dxa" w:w="80"/>
              <w:left w:type="dxa" w:w="90"/>
              <w:bottom w:type="dxa" w:w="80"/>
              <w:right w:type="dxa" w:w="90"/>
            </w:tcMar>
          </w:tcPr>
          <w:p>
            <w:r>
              <w:rPr>
                <w:rFonts w:ascii="Arial" w:cs="Arial" w:eastAsia="Arial" w:hAnsi="Arial"/>
                <w:b/>
                <w:bCs/>
                <w:color w:val="FFFFFF"/>
                <w:sz w:val="17"/>
                <w:szCs w:val="17"/>
              </w:rPr>
              <w:t xml:space="preserve">#</w:t>
            </w:r>
          </w:p>
        </w:tc>
        <w:tc>
          <w:tcPr>
            <w:tcW w:type="dxa" w:w="1985"/>
            <w:tcBorders>
              <w:top w:val="single" w:color="C8D6E5" w:sz="1"/>
              <w:left w:val="single" w:color="C8D6E5" w:sz="1"/>
              <w:bottom w:val="single" w:color="C8D6E5" w:sz="1"/>
              <w:right w:val="single" w:color="C8D6E5" w:sz="1"/>
            </w:tcBorders>
            <w:shd w:fill="1A3C6B" w:val="clear"/>
            <w:tcMar>
              <w:top w:type="dxa" w:w="80"/>
              <w:left w:type="dxa" w:w="90"/>
              <w:bottom w:type="dxa" w:w="80"/>
              <w:right w:type="dxa" w:w="90"/>
            </w:tcMar>
          </w:tcPr>
          <w:p>
            <w:r>
              <w:rPr>
                <w:rFonts w:ascii="Arial" w:cs="Arial" w:eastAsia="Arial" w:hAnsi="Arial"/>
                <w:b/>
                <w:bCs/>
                <w:color w:val="FFFFFF"/>
                <w:sz w:val="17"/>
                <w:szCs w:val="17"/>
              </w:rPr>
              <w:t xml:space="preserve">Stage</w:t>
            </w:r>
          </w:p>
        </w:tc>
        <w:tc>
          <w:tcPr>
            <w:tcW w:type="dxa" w:w="3119"/>
            <w:tcBorders>
              <w:top w:val="single" w:color="C8D6E5" w:sz="1"/>
              <w:left w:val="single" w:color="C8D6E5" w:sz="1"/>
              <w:bottom w:val="single" w:color="C8D6E5" w:sz="1"/>
              <w:right w:val="single" w:color="C8D6E5" w:sz="1"/>
            </w:tcBorders>
            <w:shd w:fill="1A3C6B" w:val="clear"/>
            <w:tcMar>
              <w:top w:type="dxa" w:w="80"/>
              <w:left w:type="dxa" w:w="90"/>
              <w:bottom w:type="dxa" w:w="80"/>
              <w:right w:type="dxa" w:w="90"/>
            </w:tcMar>
          </w:tcPr>
          <w:p>
            <w:r>
              <w:rPr>
                <w:rFonts w:ascii="Arial" w:cs="Arial" w:eastAsia="Arial" w:hAnsi="Arial"/>
                <w:b/>
                <w:bCs/>
                <w:color w:val="FFFFFF"/>
                <w:sz w:val="17"/>
                <w:szCs w:val="17"/>
              </w:rPr>
              <w:t xml:space="preserve">What Happens</w:t>
            </w:r>
          </w:p>
        </w:tc>
        <w:tc>
          <w:tcPr>
            <w:tcW w:type="dxa" w:w="2268"/>
            <w:tcBorders>
              <w:top w:val="single" w:color="C8D6E5" w:sz="1"/>
              <w:left w:val="single" w:color="C8D6E5" w:sz="1"/>
              <w:bottom w:val="single" w:color="C8D6E5" w:sz="1"/>
              <w:right w:val="single" w:color="C8D6E5" w:sz="1"/>
            </w:tcBorders>
            <w:shd w:fill="1A3C6B" w:val="clear"/>
            <w:tcMar>
              <w:top w:type="dxa" w:w="80"/>
              <w:left w:type="dxa" w:w="90"/>
              <w:bottom w:type="dxa" w:w="80"/>
              <w:right w:type="dxa" w:w="90"/>
            </w:tcMar>
          </w:tcPr>
          <w:p>
            <w:r>
              <w:rPr>
                <w:rFonts w:ascii="Arial" w:cs="Arial" w:eastAsia="Arial" w:hAnsi="Arial"/>
                <w:b/>
                <w:bCs/>
                <w:color w:val="FFFFFF"/>
                <w:sz w:val="17"/>
                <w:szCs w:val="17"/>
              </w:rPr>
              <w:t xml:space="preserve">Self-Service</w:t>
            </w:r>
          </w:p>
        </w:tc>
        <w:tc>
          <w:tcPr>
            <w:tcW w:type="dxa" w:w="1928"/>
            <w:tcBorders>
              <w:top w:val="single" w:color="C8D6E5" w:sz="1"/>
              <w:left w:val="single" w:color="C8D6E5" w:sz="1"/>
              <w:bottom w:val="single" w:color="C8D6E5" w:sz="1"/>
              <w:right w:val="single" w:color="C8D6E5" w:sz="1"/>
            </w:tcBorders>
            <w:shd w:fill="1A3C6B" w:val="clear"/>
            <w:tcMar>
              <w:top w:type="dxa" w:w="80"/>
              <w:left w:type="dxa" w:w="90"/>
              <w:bottom w:type="dxa" w:w="80"/>
              <w:right w:type="dxa" w:w="90"/>
            </w:tcMar>
          </w:tcPr>
          <w:p>
            <w:r>
              <w:rPr>
                <w:rFonts w:ascii="Arial" w:cs="Arial" w:eastAsia="Arial" w:hAnsi="Arial"/>
                <w:b/>
                <w:bCs/>
                <w:color w:val="FFFFFF"/>
                <w:sz w:val="17"/>
                <w:szCs w:val="17"/>
              </w:rPr>
              <w:t xml:space="preserve">Enterprise</w:t>
            </w:r>
          </w:p>
        </w:tc>
      </w:tr>
      <w:tr>
        <w:tc>
          <w:tcPr>
            <w:tcW w:type="dxa" w:w="454"/>
            <w:tcBorders>
              <w:top w:val="single" w:color="C8D6E5" w:sz="1"/>
              <w:left w:val="single" w:color="C8D6E5" w:sz="1"/>
              <w:bottom w:val="single" w:color="C8D6E5" w:sz="1"/>
              <w:right w:val="single" w:color="C8D6E5" w:sz="1"/>
            </w:tcBorders>
            <w:shd w:fill="FFFFFF" w:val="clear"/>
            <w:tcMar>
              <w:top w:type="dxa" w:w="80"/>
              <w:left w:type="dxa" w:w="80"/>
              <w:bottom w:type="dxa" w:w="80"/>
              <w:right w:type="dxa" w:w="80"/>
            </w:tcMar>
          </w:tcPr>
          <w:p>
            <w:pPr>
              <w:jc w:val="center"/>
            </w:pPr>
            <w:r>
              <w:rPr>
                <w:rFonts w:ascii="Arial" w:cs="Arial" w:eastAsia="Arial" w:hAnsi="Arial"/>
                <w:b/>
                <w:bCs/>
                <w:color w:val="1A3C6B"/>
                <w:sz w:val="18"/>
                <w:szCs w:val="18"/>
              </w:rPr>
              <w:t xml:space="preserve">1</w:t>
            </w:r>
          </w:p>
        </w:tc>
        <w:tc>
          <w:tcPr>
            <w:tcW w:type="dxa" w:w="1985"/>
            <w:tcBorders>
              <w:top w:val="single" w:color="C8D6E5" w:sz="1"/>
              <w:left w:val="single" w:color="C8D6E5" w:sz="1"/>
              <w:bottom w:val="single" w:color="C8D6E5" w:sz="1"/>
              <w:right w:val="single" w:color="C8D6E5" w:sz="1"/>
            </w:tcBorders>
            <w:shd w:fill="FFFFFF" w:val="clear"/>
            <w:tcMar>
              <w:top w:type="dxa" w:w="80"/>
              <w:left w:type="dxa" w:w="90"/>
              <w:bottom w:type="dxa" w:w="80"/>
              <w:right w:type="dxa" w:w="90"/>
            </w:tcMar>
          </w:tcPr>
          <w:p>
            <w:r>
              <w:rPr>
                <w:rFonts w:ascii="Arial" w:cs="Arial" w:eastAsia="Arial" w:hAnsi="Arial"/>
                <w:b/>
                <w:bCs/>
                <w:color w:val="444444"/>
                <w:sz w:val="17"/>
                <w:szCs w:val="17"/>
              </w:rPr>
              <w:t xml:space="preserve">Refund Application Submitted</w:t>
            </w:r>
          </w:p>
        </w:tc>
        <w:tc>
          <w:tcPr>
            <w:tcW w:type="dxa" w:w="3119"/>
            <w:tcBorders>
              <w:top w:val="single" w:color="C8D6E5" w:sz="1"/>
              <w:left w:val="single" w:color="C8D6E5" w:sz="1"/>
              <w:bottom w:val="single" w:color="C8D6E5" w:sz="1"/>
              <w:right w:val="single" w:color="C8D6E5" w:sz="1"/>
            </w:tcBorders>
            <w:shd w:fill="FFFFFF" w:val="clear"/>
            <w:tcMar>
              <w:top w:type="dxa" w:w="80"/>
              <w:left w:type="dxa" w:w="90"/>
              <w:bottom w:type="dxa" w:w="80"/>
              <w:right w:type="dxa" w:w="90"/>
            </w:tcMar>
          </w:tcPr>
          <w:p>
            <w:r>
              <w:rPr>
                <w:rFonts w:ascii="Arial" w:cs="Arial" w:eastAsia="Arial" w:hAnsi="Arial"/>
                <w:color w:val="1A1A1A"/>
                <w:sz w:val="16"/>
                <w:szCs w:val="16"/>
              </w:rPr>
              <w:t xml:space="preserve">Agent submits cancel via platform. Fare rules checked.</w:t>
            </w:r>
          </w:p>
        </w:tc>
        <w:tc>
          <w:tcPr>
            <w:tcW w:type="dxa" w:w="2268"/>
            <w:tcBorders>
              <w:top w:val="single" w:color="C8D6E5" w:sz="1"/>
              <w:left w:val="single" w:color="C8D6E5" w:sz="1"/>
              <w:bottom w:val="single" w:color="C8D6E5" w:sz="1"/>
              <w:right w:val="single" w:color="C8D6E5" w:sz="1"/>
            </w:tcBorders>
            <w:shd w:fill="FDE8D4" w:val="clear"/>
            <w:tcMar>
              <w:top w:type="dxa" w:w="80"/>
              <w:left w:type="dxa" w:w="90"/>
              <w:bottom w:type="dxa" w:w="80"/>
              <w:right w:type="dxa" w:w="90"/>
            </w:tcMar>
          </w:tcPr>
          <w:p>
            <w:r>
              <w:rPr>
                <w:rFonts w:ascii="Arial" w:cs="Arial" w:eastAsia="Arial" w:hAnsi="Arial"/>
                <w:color w:val="C0580A"/>
                <w:sz w:val="15"/>
                <w:szCs w:val="15"/>
              </w:rPr>
              <w:t xml:space="preserve">Offline via consolidator request form</w:t>
            </w:r>
          </w:p>
        </w:tc>
        <w:tc>
          <w:tcPr>
            <w:tcW w:type="dxa" w:w="1928"/>
            <w:tcBorders>
              <w:top w:val="single" w:color="C8D6E5" w:sz="1"/>
              <w:left w:val="single" w:color="C8D6E5" w:sz="1"/>
              <w:bottom w:val="single" w:color="C8D6E5" w:sz="1"/>
              <w:right w:val="single" w:color="C8D6E5" w:sz="1"/>
            </w:tcBorders>
            <w:shd w:fill="D6F0E2" w:val="clear"/>
            <w:tcMar>
              <w:top w:type="dxa" w:w="80"/>
              <w:left w:type="dxa" w:w="90"/>
              <w:bottom w:type="dxa" w:w="80"/>
              <w:right w:type="dxa" w:w="90"/>
            </w:tcMar>
          </w:tcPr>
          <w:p>
            <w:r>
              <w:rPr>
                <w:rFonts w:ascii="Arial" w:cs="Arial" w:eastAsia="Arial" w:hAnsi="Arial"/>
                <w:color w:val="1E7E4E"/>
                <w:sz w:val="15"/>
                <w:szCs w:val="15"/>
              </w:rPr>
              <w:t xml:space="preserve">ATC Refund triggered programmatically</w:t>
            </w:r>
          </w:p>
        </w:tc>
      </w:tr>
      <w:tr>
        <w:tc>
          <w:tcPr>
            <w:tcW w:type="dxa" w:w="454"/>
            <w:tcBorders>
              <w:top w:val="single" w:color="C8D6E5" w:sz="1"/>
              <w:left w:val="single" w:color="C8D6E5" w:sz="1"/>
              <w:bottom w:val="single" w:color="C8D6E5" w:sz="1"/>
              <w:right w:val="single" w:color="C8D6E5" w:sz="1"/>
            </w:tcBorders>
            <w:shd w:fill="F4F6F9" w:val="clear"/>
            <w:tcMar>
              <w:top w:type="dxa" w:w="80"/>
              <w:left w:type="dxa" w:w="80"/>
              <w:bottom w:type="dxa" w:w="80"/>
              <w:right w:type="dxa" w:w="80"/>
            </w:tcMar>
          </w:tcPr>
          <w:p>
            <w:pPr>
              <w:jc w:val="center"/>
            </w:pPr>
            <w:r>
              <w:rPr>
                <w:rFonts w:ascii="Arial" w:cs="Arial" w:eastAsia="Arial" w:hAnsi="Arial"/>
                <w:b/>
                <w:bCs/>
                <w:color w:val="1A3C6B"/>
                <w:sz w:val="18"/>
                <w:szCs w:val="18"/>
              </w:rPr>
              <w:t xml:space="preserve">2</w:t>
            </w:r>
          </w:p>
        </w:tc>
        <w:tc>
          <w:tcPr>
            <w:tcW w:type="dxa" w:w="1985"/>
            <w:tcBorders>
              <w:top w:val="single" w:color="C8D6E5" w:sz="1"/>
              <w:left w:val="single" w:color="C8D6E5" w:sz="1"/>
              <w:bottom w:val="single" w:color="C8D6E5" w:sz="1"/>
              <w:right w:val="single" w:color="C8D6E5" w:sz="1"/>
            </w:tcBorders>
            <w:shd w:fill="F4F6F9" w:val="clear"/>
            <w:tcMar>
              <w:top w:type="dxa" w:w="80"/>
              <w:left w:type="dxa" w:w="90"/>
              <w:bottom w:type="dxa" w:w="80"/>
              <w:right w:type="dxa" w:w="90"/>
            </w:tcMar>
          </w:tcPr>
          <w:p>
            <w:r>
              <w:rPr>
                <w:rFonts w:ascii="Arial" w:cs="Arial" w:eastAsia="Arial" w:hAnsi="Arial"/>
                <w:b/>
                <w:bCs/>
                <w:color w:val="444444"/>
                <w:sz w:val="17"/>
                <w:szCs w:val="17"/>
              </w:rPr>
              <w:t xml:space="preserve">Refund Amount Calculated</w:t>
            </w:r>
          </w:p>
        </w:tc>
        <w:tc>
          <w:tcPr>
            <w:tcW w:type="dxa" w:w="3119"/>
            <w:tcBorders>
              <w:top w:val="single" w:color="C8D6E5" w:sz="1"/>
              <w:left w:val="single" w:color="C8D6E5" w:sz="1"/>
              <w:bottom w:val="single" w:color="C8D6E5" w:sz="1"/>
              <w:right w:val="single" w:color="C8D6E5" w:sz="1"/>
            </w:tcBorders>
            <w:shd w:fill="F4F6F9" w:val="clear"/>
            <w:tcMar>
              <w:top w:type="dxa" w:w="80"/>
              <w:left w:type="dxa" w:w="90"/>
              <w:bottom w:type="dxa" w:w="80"/>
              <w:right w:type="dxa" w:w="90"/>
            </w:tcMar>
          </w:tcPr>
          <w:p>
            <w:r>
              <w:rPr>
                <w:rFonts w:ascii="Arial" w:cs="Arial" w:eastAsia="Arial" w:hAnsi="Arial"/>
                <w:color w:val="1A1A1A"/>
                <w:sz w:val="16"/>
                <w:szCs w:val="16"/>
              </w:rPr>
              <w:t xml:space="preserve">Gross fare minus penalty per ATPCO Cat 31/33.</w:t>
            </w:r>
          </w:p>
        </w:tc>
        <w:tc>
          <w:tcPr>
            <w:tcW w:type="dxa" w:w="2268"/>
            <w:tcBorders>
              <w:top w:val="single" w:color="C8D6E5" w:sz="1"/>
              <w:left w:val="single" w:color="C8D6E5" w:sz="1"/>
              <w:bottom w:val="single" w:color="C8D6E5" w:sz="1"/>
              <w:right w:val="single" w:color="C8D6E5" w:sz="1"/>
            </w:tcBorders>
            <w:shd w:fill="FDE8D4" w:val="clear"/>
            <w:tcMar>
              <w:top w:type="dxa" w:w="80"/>
              <w:left w:type="dxa" w:w="90"/>
              <w:bottom w:type="dxa" w:w="80"/>
              <w:right w:type="dxa" w:w="90"/>
            </w:tcMar>
          </w:tcPr>
          <w:p>
            <w:r>
              <w:rPr>
                <w:rFonts w:ascii="Arial" w:cs="Arial" w:eastAsia="Arial" w:hAnsi="Arial"/>
                <w:color w:val="C0580A"/>
                <w:sz w:val="15"/>
                <w:szCs w:val="15"/>
              </w:rPr>
              <w:t xml:space="preserve">Consolidator calculates manually</w:t>
            </w:r>
          </w:p>
        </w:tc>
        <w:tc>
          <w:tcPr>
            <w:tcW w:type="dxa" w:w="1928"/>
            <w:tcBorders>
              <w:top w:val="single" w:color="C8D6E5" w:sz="1"/>
              <w:left w:val="single" w:color="C8D6E5" w:sz="1"/>
              <w:bottom w:val="single" w:color="C8D6E5" w:sz="1"/>
              <w:right w:val="single" w:color="C8D6E5" w:sz="1"/>
            </w:tcBorders>
            <w:shd w:fill="D6F0E2" w:val="clear"/>
            <w:tcMar>
              <w:top w:type="dxa" w:w="80"/>
              <w:left w:type="dxa" w:w="90"/>
              <w:bottom w:type="dxa" w:w="80"/>
              <w:right w:type="dxa" w:w="90"/>
            </w:tcMar>
          </w:tcPr>
          <w:p>
            <w:r>
              <w:rPr>
                <w:rFonts w:ascii="Arial" w:cs="Arial" w:eastAsia="Arial" w:hAnsi="Arial"/>
                <w:color w:val="1E7E4E"/>
                <w:sz w:val="15"/>
                <w:szCs w:val="15"/>
              </w:rPr>
              <w:t xml:space="preserve">ATC auto-calculates in real time</w:t>
            </w:r>
          </w:p>
        </w:tc>
      </w:tr>
      <w:tr>
        <w:tc>
          <w:tcPr>
            <w:tcW w:type="dxa" w:w="454"/>
            <w:tcBorders>
              <w:top w:val="single" w:color="C8D6E5" w:sz="1"/>
              <w:left w:val="single" w:color="C8D6E5" w:sz="1"/>
              <w:bottom w:val="single" w:color="C8D6E5" w:sz="1"/>
              <w:right w:val="single" w:color="C8D6E5" w:sz="1"/>
            </w:tcBorders>
            <w:shd w:fill="FFFFFF" w:val="clear"/>
            <w:tcMar>
              <w:top w:type="dxa" w:w="80"/>
              <w:left w:type="dxa" w:w="80"/>
              <w:bottom w:type="dxa" w:w="80"/>
              <w:right w:type="dxa" w:w="80"/>
            </w:tcMar>
          </w:tcPr>
          <w:p>
            <w:pPr>
              <w:jc w:val="center"/>
            </w:pPr>
            <w:r>
              <w:rPr>
                <w:rFonts w:ascii="Arial" w:cs="Arial" w:eastAsia="Arial" w:hAnsi="Arial"/>
                <w:b/>
                <w:bCs/>
                <w:color w:val="1A3C6B"/>
                <w:sz w:val="18"/>
                <w:szCs w:val="18"/>
              </w:rPr>
              <w:t xml:space="preserve">3</w:t>
            </w:r>
          </w:p>
        </w:tc>
        <w:tc>
          <w:tcPr>
            <w:tcW w:type="dxa" w:w="1985"/>
            <w:tcBorders>
              <w:top w:val="single" w:color="C8D6E5" w:sz="1"/>
              <w:left w:val="single" w:color="C8D6E5" w:sz="1"/>
              <w:bottom w:val="single" w:color="C8D6E5" w:sz="1"/>
              <w:right w:val="single" w:color="C8D6E5" w:sz="1"/>
            </w:tcBorders>
            <w:shd w:fill="FFFFFF" w:val="clear"/>
            <w:tcMar>
              <w:top w:type="dxa" w:w="80"/>
              <w:left w:type="dxa" w:w="90"/>
              <w:bottom w:type="dxa" w:w="80"/>
              <w:right w:type="dxa" w:w="90"/>
            </w:tcMar>
          </w:tcPr>
          <w:p>
            <w:r>
              <w:rPr>
                <w:rFonts w:ascii="Arial" w:cs="Arial" w:eastAsia="Arial" w:hAnsi="Arial"/>
                <w:b/>
                <w:bCs/>
                <w:color w:val="444444"/>
                <w:sz w:val="17"/>
                <w:szCs w:val="17"/>
              </w:rPr>
              <w:t xml:space="preserve">Airline / Consolidator Review</w:t>
            </w:r>
          </w:p>
        </w:tc>
        <w:tc>
          <w:tcPr>
            <w:tcW w:type="dxa" w:w="3119"/>
            <w:tcBorders>
              <w:top w:val="single" w:color="C8D6E5" w:sz="1"/>
              <w:left w:val="single" w:color="C8D6E5" w:sz="1"/>
              <w:bottom w:val="single" w:color="C8D6E5" w:sz="1"/>
              <w:right w:val="single" w:color="C8D6E5" w:sz="1"/>
            </w:tcBorders>
            <w:shd w:fill="FFFFFF" w:val="clear"/>
            <w:tcMar>
              <w:top w:type="dxa" w:w="80"/>
              <w:left w:type="dxa" w:w="90"/>
              <w:bottom w:type="dxa" w:w="80"/>
              <w:right w:type="dxa" w:w="90"/>
            </w:tcMar>
          </w:tcPr>
          <w:p>
            <w:r>
              <w:rPr>
                <w:rFonts w:ascii="Arial" w:cs="Arial" w:eastAsia="Arial" w:hAnsi="Arial"/>
                <w:color w:val="1A1A1A"/>
                <w:sz w:val="16"/>
                <w:szCs w:val="16"/>
              </w:rPr>
              <w:t xml:space="preserve">Airline confirms waiver/refund eligibility.</w:t>
            </w:r>
          </w:p>
        </w:tc>
        <w:tc>
          <w:tcPr>
            <w:tcW w:type="dxa" w:w="2268"/>
            <w:tcBorders>
              <w:top w:val="single" w:color="C8D6E5" w:sz="1"/>
              <w:left w:val="single" w:color="C8D6E5" w:sz="1"/>
              <w:bottom w:val="single" w:color="C8D6E5" w:sz="1"/>
              <w:right w:val="single" w:color="C8D6E5" w:sz="1"/>
            </w:tcBorders>
            <w:shd w:fill="FDE8D4" w:val="clear"/>
            <w:tcMar>
              <w:top w:type="dxa" w:w="80"/>
              <w:left w:type="dxa" w:w="90"/>
              <w:bottom w:type="dxa" w:w="80"/>
              <w:right w:type="dxa" w:w="90"/>
            </w:tcMar>
          </w:tcPr>
          <w:p>
            <w:r>
              <w:rPr>
                <w:rFonts w:ascii="Arial" w:cs="Arial" w:eastAsia="Arial" w:hAnsi="Arial"/>
                <w:color w:val="C0580A"/>
                <w:sz w:val="15"/>
                <w:szCs w:val="15"/>
              </w:rPr>
              <w:t xml:space="preserve">3–7 business days typically</w:t>
            </w:r>
          </w:p>
        </w:tc>
        <w:tc>
          <w:tcPr>
            <w:tcW w:type="dxa" w:w="1928"/>
            <w:tcBorders>
              <w:top w:val="single" w:color="C8D6E5" w:sz="1"/>
              <w:left w:val="single" w:color="C8D6E5" w:sz="1"/>
              <w:bottom w:val="single" w:color="C8D6E5" w:sz="1"/>
              <w:right w:val="single" w:color="C8D6E5" w:sz="1"/>
            </w:tcBorders>
            <w:shd w:fill="D6F0E2" w:val="clear"/>
            <w:tcMar>
              <w:top w:type="dxa" w:w="80"/>
              <w:left w:type="dxa" w:w="90"/>
              <w:bottom w:type="dxa" w:w="80"/>
              <w:right w:type="dxa" w:w="90"/>
            </w:tcMar>
          </w:tcPr>
          <w:p>
            <w:r>
              <w:rPr>
                <w:rFonts w:ascii="Arial" w:cs="Arial" w:eastAsia="Arial" w:hAnsi="Arial"/>
                <w:color w:val="1E7E4E"/>
                <w:sz w:val="15"/>
                <w:szCs w:val="15"/>
              </w:rPr>
              <w:t xml:space="preserve">Faster; waiver codes applied instantly</w:t>
            </w:r>
          </w:p>
        </w:tc>
      </w:tr>
      <w:tr>
        <w:tc>
          <w:tcPr>
            <w:tcW w:type="dxa" w:w="454"/>
            <w:tcBorders>
              <w:top w:val="single" w:color="C8D6E5" w:sz="1"/>
              <w:left w:val="single" w:color="C8D6E5" w:sz="1"/>
              <w:bottom w:val="single" w:color="C8D6E5" w:sz="1"/>
              <w:right w:val="single" w:color="C8D6E5" w:sz="1"/>
            </w:tcBorders>
            <w:shd w:fill="F4F6F9" w:val="clear"/>
            <w:tcMar>
              <w:top w:type="dxa" w:w="80"/>
              <w:left w:type="dxa" w:w="80"/>
              <w:bottom w:type="dxa" w:w="80"/>
              <w:right w:type="dxa" w:w="80"/>
            </w:tcMar>
          </w:tcPr>
          <w:p>
            <w:pPr>
              <w:jc w:val="center"/>
            </w:pPr>
            <w:r>
              <w:rPr>
                <w:rFonts w:ascii="Arial" w:cs="Arial" w:eastAsia="Arial" w:hAnsi="Arial"/>
                <w:b/>
                <w:bCs/>
                <w:color w:val="1A3C6B"/>
                <w:sz w:val="18"/>
                <w:szCs w:val="18"/>
              </w:rPr>
              <w:t xml:space="preserve">4</w:t>
            </w:r>
          </w:p>
        </w:tc>
        <w:tc>
          <w:tcPr>
            <w:tcW w:type="dxa" w:w="1985"/>
            <w:tcBorders>
              <w:top w:val="single" w:color="C8D6E5" w:sz="1"/>
              <w:left w:val="single" w:color="C8D6E5" w:sz="1"/>
              <w:bottom w:val="single" w:color="C8D6E5" w:sz="1"/>
              <w:right w:val="single" w:color="C8D6E5" w:sz="1"/>
            </w:tcBorders>
            <w:shd w:fill="F4F6F9" w:val="clear"/>
            <w:tcMar>
              <w:top w:type="dxa" w:w="80"/>
              <w:left w:type="dxa" w:w="90"/>
              <w:bottom w:type="dxa" w:w="80"/>
              <w:right w:type="dxa" w:w="90"/>
            </w:tcMar>
          </w:tcPr>
          <w:p>
            <w:r>
              <w:rPr>
                <w:rFonts w:ascii="Arial" w:cs="Arial" w:eastAsia="Arial" w:hAnsi="Arial"/>
                <w:b/>
                <w:bCs/>
                <w:color w:val="444444"/>
                <w:sz w:val="17"/>
                <w:szCs w:val="17"/>
              </w:rPr>
              <w:t xml:space="preserve">Funds Processed via BSP/ARC</w:t>
            </w:r>
          </w:p>
        </w:tc>
        <w:tc>
          <w:tcPr>
            <w:tcW w:type="dxa" w:w="3119"/>
            <w:tcBorders>
              <w:top w:val="single" w:color="C8D6E5" w:sz="1"/>
              <w:left w:val="single" w:color="C8D6E5" w:sz="1"/>
              <w:bottom w:val="single" w:color="C8D6E5" w:sz="1"/>
              <w:right w:val="single" w:color="C8D6E5" w:sz="1"/>
            </w:tcBorders>
            <w:shd w:fill="F4F6F9" w:val="clear"/>
            <w:tcMar>
              <w:top w:type="dxa" w:w="80"/>
              <w:left w:type="dxa" w:w="90"/>
              <w:bottom w:type="dxa" w:w="80"/>
              <w:right w:type="dxa" w:w="90"/>
            </w:tcMar>
          </w:tcPr>
          <w:p>
            <w:r>
              <w:rPr>
                <w:rFonts w:ascii="Arial" w:cs="Arial" w:eastAsia="Arial" w:hAnsi="Arial"/>
                <w:color w:val="1A1A1A"/>
                <w:sz w:val="16"/>
                <w:szCs w:val="16"/>
              </w:rPr>
              <w:t xml:space="preserve">Settled in BSP cycle. Credit issued to agency.</w:t>
            </w:r>
          </w:p>
        </w:tc>
        <w:tc>
          <w:tcPr>
            <w:tcW w:type="dxa" w:w="2268"/>
            <w:tcBorders>
              <w:top w:val="single" w:color="C8D6E5" w:sz="1"/>
              <w:left w:val="single" w:color="C8D6E5" w:sz="1"/>
              <w:bottom w:val="single" w:color="C8D6E5" w:sz="1"/>
              <w:right w:val="single" w:color="C8D6E5" w:sz="1"/>
            </w:tcBorders>
            <w:shd w:fill="FDE8D4" w:val="clear"/>
            <w:tcMar>
              <w:top w:type="dxa" w:w="80"/>
              <w:left w:type="dxa" w:w="90"/>
              <w:bottom w:type="dxa" w:w="80"/>
              <w:right w:type="dxa" w:w="90"/>
            </w:tcMar>
          </w:tcPr>
          <w:p>
            <w:r>
              <w:rPr>
                <w:rFonts w:ascii="Arial" w:cs="Arial" w:eastAsia="Arial" w:hAnsi="Arial"/>
                <w:color w:val="C0580A"/>
                <w:sz w:val="15"/>
                <w:szCs w:val="15"/>
              </w:rPr>
              <w:t xml:space="preserve">Next BSP cycle (bi-weekly)</w:t>
            </w:r>
          </w:p>
        </w:tc>
        <w:tc>
          <w:tcPr>
            <w:tcW w:type="dxa" w:w="1928"/>
            <w:tcBorders>
              <w:top w:val="single" w:color="C8D6E5" w:sz="1"/>
              <w:left w:val="single" w:color="C8D6E5" w:sz="1"/>
              <w:bottom w:val="single" w:color="C8D6E5" w:sz="1"/>
              <w:right w:val="single" w:color="C8D6E5" w:sz="1"/>
            </w:tcBorders>
            <w:shd w:fill="D6F0E2" w:val="clear"/>
            <w:tcMar>
              <w:top w:type="dxa" w:w="80"/>
              <w:left w:type="dxa" w:w="90"/>
              <w:bottom w:type="dxa" w:w="80"/>
              <w:right w:type="dxa" w:w="90"/>
            </w:tcMar>
          </w:tcPr>
          <w:p>
            <w:r>
              <w:rPr>
                <w:rFonts w:ascii="Arial" w:cs="Arial" w:eastAsia="Arial" w:hAnsi="Arial"/>
                <w:color w:val="1E7E4E"/>
                <w:sz w:val="15"/>
                <w:szCs w:val="15"/>
              </w:rPr>
              <w:t xml:space="preserve">Direct BSP settlement</w:t>
            </w:r>
          </w:p>
        </w:tc>
      </w:tr>
      <w:tr>
        <w:tc>
          <w:tcPr>
            <w:tcW w:type="dxa" w:w="454"/>
            <w:tcBorders>
              <w:top w:val="single" w:color="C8D6E5" w:sz="1"/>
              <w:left w:val="single" w:color="C8D6E5" w:sz="1"/>
              <w:bottom w:val="single" w:color="C8D6E5" w:sz="1"/>
              <w:right w:val="single" w:color="C8D6E5" w:sz="1"/>
            </w:tcBorders>
            <w:shd w:fill="FFFFFF" w:val="clear"/>
            <w:tcMar>
              <w:top w:type="dxa" w:w="80"/>
              <w:left w:type="dxa" w:w="80"/>
              <w:bottom w:type="dxa" w:w="80"/>
              <w:right w:type="dxa" w:w="80"/>
            </w:tcMar>
          </w:tcPr>
          <w:p>
            <w:pPr>
              <w:jc w:val="center"/>
            </w:pPr>
            <w:r>
              <w:rPr>
                <w:rFonts w:ascii="Arial" w:cs="Arial" w:eastAsia="Arial" w:hAnsi="Arial"/>
                <w:b/>
                <w:bCs/>
                <w:color w:val="1A3C6B"/>
                <w:sz w:val="18"/>
                <w:szCs w:val="18"/>
              </w:rPr>
              <w:t xml:space="preserve">5</w:t>
            </w:r>
          </w:p>
        </w:tc>
        <w:tc>
          <w:tcPr>
            <w:tcW w:type="dxa" w:w="1985"/>
            <w:tcBorders>
              <w:top w:val="single" w:color="C8D6E5" w:sz="1"/>
              <w:left w:val="single" w:color="C8D6E5" w:sz="1"/>
              <w:bottom w:val="single" w:color="C8D6E5" w:sz="1"/>
              <w:right w:val="single" w:color="C8D6E5" w:sz="1"/>
            </w:tcBorders>
            <w:shd w:fill="FFFFFF" w:val="clear"/>
            <w:tcMar>
              <w:top w:type="dxa" w:w="80"/>
              <w:left w:type="dxa" w:w="90"/>
              <w:bottom w:type="dxa" w:w="80"/>
              <w:right w:type="dxa" w:w="90"/>
            </w:tcMar>
          </w:tcPr>
          <w:p>
            <w:r>
              <w:rPr>
                <w:rFonts w:ascii="Arial" w:cs="Arial" w:eastAsia="Arial" w:hAnsi="Arial"/>
                <w:b/>
                <w:bCs/>
                <w:color w:val="444444"/>
                <w:sz w:val="17"/>
                <w:szCs w:val="17"/>
              </w:rPr>
              <w:t xml:space="preserve">Refund to Customer</w:t>
            </w:r>
          </w:p>
        </w:tc>
        <w:tc>
          <w:tcPr>
            <w:tcW w:type="dxa" w:w="3119"/>
            <w:tcBorders>
              <w:top w:val="single" w:color="C8D6E5" w:sz="1"/>
              <w:left w:val="single" w:color="C8D6E5" w:sz="1"/>
              <w:bottom w:val="single" w:color="C8D6E5" w:sz="1"/>
              <w:right w:val="single" w:color="C8D6E5" w:sz="1"/>
            </w:tcBorders>
            <w:shd w:fill="FFFFFF" w:val="clear"/>
            <w:tcMar>
              <w:top w:type="dxa" w:w="80"/>
              <w:left w:type="dxa" w:w="90"/>
              <w:bottom w:type="dxa" w:w="80"/>
              <w:right w:type="dxa" w:w="90"/>
            </w:tcMar>
          </w:tcPr>
          <w:p>
            <w:r>
              <w:rPr>
                <w:rFonts w:ascii="Arial" w:cs="Arial" w:eastAsia="Arial" w:hAnsi="Arial"/>
                <w:color w:val="1A1A1A"/>
                <w:sz w:val="16"/>
                <w:szCs w:val="16"/>
              </w:rPr>
              <w:t xml:space="preserve">Agency passes refund to customer.</w:t>
            </w:r>
          </w:p>
        </w:tc>
        <w:tc>
          <w:tcPr>
            <w:tcW w:type="dxa" w:w="2268"/>
            <w:tcBorders>
              <w:top w:val="single" w:color="C8D6E5" w:sz="1"/>
              <w:left w:val="single" w:color="C8D6E5" w:sz="1"/>
              <w:bottom w:val="single" w:color="C8D6E5" w:sz="1"/>
              <w:right w:val="single" w:color="C8D6E5" w:sz="1"/>
            </w:tcBorders>
            <w:shd w:fill="FDE8D4" w:val="clear"/>
            <w:tcMar>
              <w:top w:type="dxa" w:w="80"/>
              <w:left w:type="dxa" w:w="90"/>
              <w:bottom w:type="dxa" w:w="80"/>
              <w:right w:type="dxa" w:w="90"/>
            </w:tcMar>
          </w:tcPr>
          <w:p>
            <w:r>
              <w:rPr>
                <w:rFonts w:ascii="Arial" w:cs="Arial" w:eastAsia="Arial" w:hAnsi="Arial"/>
                <w:color w:val="C0580A"/>
                <w:sz w:val="15"/>
                <w:szCs w:val="15"/>
              </w:rPr>
              <w:t xml:space="preserve">Platform builds this layer</w:t>
            </w:r>
          </w:p>
        </w:tc>
        <w:tc>
          <w:tcPr>
            <w:tcW w:type="dxa" w:w="1928"/>
            <w:tcBorders>
              <w:top w:val="single" w:color="C8D6E5" w:sz="1"/>
              <w:left w:val="single" w:color="C8D6E5" w:sz="1"/>
              <w:bottom w:val="single" w:color="C8D6E5" w:sz="1"/>
              <w:right w:val="single" w:color="C8D6E5" w:sz="1"/>
            </w:tcBorders>
            <w:shd w:fill="D6F0E2" w:val="clear"/>
            <w:tcMar>
              <w:top w:type="dxa" w:w="80"/>
              <w:left w:type="dxa" w:w="90"/>
              <w:bottom w:type="dxa" w:w="80"/>
              <w:right w:type="dxa" w:w="90"/>
            </w:tcMar>
          </w:tcPr>
          <w:p>
            <w:r>
              <w:rPr>
                <w:rFonts w:ascii="Arial" w:cs="Arial" w:eastAsia="Arial" w:hAnsi="Arial"/>
                <w:color w:val="1E7E4E"/>
                <w:sz w:val="15"/>
                <w:szCs w:val="15"/>
              </w:rPr>
              <w:t xml:space="preserve">Platform builds this layer</w:t>
            </w:r>
          </w:p>
        </w:tc>
      </w:tr>
    </w:tbl>
    <w:p>
      <w:pPr>
        <w:spacing w:before="0" w:after="0"/>
      </w:pPr>
      <w:r>
        <w:rPr>
          <w:sz w:val="24"/>
          <w:szCs w:val="24"/>
        </w:rPr>
        <w:t xml:space="preserve"/>
      </w:r>
    </w:p>
    <w:p>
      <w:r>
        <w:br w:type="page"/>
      </w:r>
    </w:p>
    <w:p>
      <w:pPr>
        <w:pStyle w:val="Heading1"/>
        <w:pBdr>
          <w:bottom w:val="single" w:color="2E6DA4" w:sz="4" w:space="6"/>
        </w:pBdr>
        <w:spacing w:before="400" w:after="160"/>
      </w:pPr>
      <w:r>
        <w:rPr>
          <w:rFonts w:ascii="Arial" w:cs="Arial" w:eastAsia="Arial" w:hAnsi="Arial"/>
          <w:b/>
          <w:bCs/>
          <w:color w:val="1A3C6B"/>
          <w:sz w:val="28"/>
          <w:szCs w:val="28"/>
        </w:rPr>
        <w:t xml:space="preserve">10. Additional Recommended Features for a Full-Service Travel Agency Platform</w:t>
      </w:r>
    </w:p>
    <w:p>
      <w:pPr>
        <w:pStyle w:val="Heading2"/>
        <w:spacing w:before="280" w:after="100"/>
      </w:pPr>
      <w:r>
        <w:rPr>
          <w:rFonts w:ascii="Arial" w:cs="Arial" w:eastAsia="Arial" w:hAnsi="Arial"/>
          <w:b/>
          <w:bCs/>
          <w:color w:val="2E6DA4"/>
          <w:sz w:val="24"/>
          <w:szCs w:val="24"/>
        </w:rPr>
        <w:t xml:space="preserve">10.1 Hotel Booking</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268"/>
        <w:gridCol w:w="2155"/>
        <w:gridCol w:w="1247"/>
        <w:gridCol w:w="1247"/>
        <w:gridCol w:w="2835"/>
      </w:tblGrid>
      <w:tr>
        <w:trPr>
          <w:tblHeader/>
        </w:trPr>
        <w:tc>
          <w:tcPr>
            <w:tcW w:type="dxa" w:w="2268"/>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Feature / Capability</w:t>
            </w:r>
          </w:p>
        </w:tc>
        <w:tc>
          <w:tcPr>
            <w:tcW w:type="dxa" w:w="215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Amadeus API / Product</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Self-Service</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Enterprise</w:t>
            </w:r>
          </w:p>
        </w:tc>
        <w:tc>
          <w:tcPr>
            <w:tcW w:type="dxa" w:w="283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Notes &amp; Details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Hotel Search &amp; Availability</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Hotel List + Hotel Search APIs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150,000+ properties worldwide. Real-time room rates and availability.</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Hotel Booking / Confirmation</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Hotel Orders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Book, confirm, and cancel hotel reservations via API.</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Hotel Ratings &amp; Sentiment</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Hotel Ratings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Traveler sentiment scores, review summaries per property.</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Chain Code / Brand Filter</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Hotel List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Filter by hotel chain (Hilton, Marriott, IHG etc.) or amenity type.</w:t>
            </w:r>
          </w:p>
        </w:tc>
      </w:tr>
    </w:tbl>
    <w:p>
      <w:pPr>
        <w:spacing w:before="0" w:after="0"/>
      </w:pPr>
      <w:r>
        <w:rPr>
          <w:sz w:val="12"/>
          <w:szCs w:val="12"/>
        </w:rPr>
        <w:t xml:space="preserve"/>
      </w:r>
    </w:p>
    <w:p>
      <w:pPr>
        <w:pStyle w:val="Heading2"/>
        <w:spacing w:before="280" w:after="100"/>
      </w:pPr>
      <w:r>
        <w:rPr>
          <w:rFonts w:ascii="Arial" w:cs="Arial" w:eastAsia="Arial" w:hAnsi="Arial"/>
          <w:b/>
          <w:bCs/>
          <w:color w:val="2E6DA4"/>
          <w:sz w:val="24"/>
          <w:szCs w:val="24"/>
        </w:rPr>
        <w:t xml:space="preserve">10.2 Ground Transfers &amp; Car Rental</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268"/>
        <w:gridCol w:w="2155"/>
        <w:gridCol w:w="1247"/>
        <w:gridCol w:w="1247"/>
        <w:gridCol w:w="2835"/>
      </w:tblGrid>
      <w:tr>
        <w:trPr>
          <w:tblHeader/>
        </w:trPr>
        <w:tc>
          <w:tcPr>
            <w:tcW w:type="dxa" w:w="2268"/>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Feature / Capability</w:t>
            </w:r>
          </w:p>
        </w:tc>
        <w:tc>
          <w:tcPr>
            <w:tcW w:type="dxa" w:w="215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Amadeus API / Product</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Self-Service</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Enterprise</w:t>
            </w:r>
          </w:p>
        </w:tc>
        <w:tc>
          <w:tcPr>
            <w:tcW w:type="dxa" w:w="283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Notes &amp; Details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Airport Ground Transfers</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Amadeus Transfers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Private cars, shared shuttles, taxis, helicopters. 300+ cities.</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Car Rental Search &amp; Booking</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Amadeus Cars API</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Major car rental providers globally. Enterprise contract required.</w:t>
            </w:r>
          </w:p>
        </w:tc>
      </w:tr>
    </w:tbl>
    <w:p>
      <w:pPr>
        <w:spacing w:before="0" w:after="0"/>
      </w:pPr>
      <w:r>
        <w:rPr>
          <w:sz w:val="12"/>
          <w:szCs w:val="12"/>
        </w:rPr>
        <w:t xml:space="preserve"/>
      </w:r>
    </w:p>
    <w:p>
      <w:pPr>
        <w:pStyle w:val="Heading2"/>
        <w:spacing w:before="280" w:after="100"/>
      </w:pPr>
      <w:r>
        <w:rPr>
          <w:rFonts w:ascii="Arial" w:cs="Arial" w:eastAsia="Arial" w:hAnsi="Arial"/>
          <w:b/>
          <w:bCs/>
          <w:color w:val="2E6DA4"/>
          <w:sz w:val="24"/>
          <w:szCs w:val="24"/>
        </w:rPr>
        <w:t xml:space="preserve">10.3 Tours, Activities &amp; Travel Insurance</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268"/>
        <w:gridCol w:w="2155"/>
        <w:gridCol w:w="1247"/>
        <w:gridCol w:w="1247"/>
        <w:gridCol w:w="2835"/>
      </w:tblGrid>
      <w:tr>
        <w:trPr>
          <w:tblHeader/>
        </w:trPr>
        <w:tc>
          <w:tcPr>
            <w:tcW w:type="dxa" w:w="2268"/>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Feature / Capability</w:t>
            </w:r>
          </w:p>
        </w:tc>
        <w:tc>
          <w:tcPr>
            <w:tcW w:type="dxa" w:w="215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Amadeus API / Product</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Self-Service</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Enterprise</w:t>
            </w:r>
          </w:p>
        </w:tc>
        <w:tc>
          <w:tcPr>
            <w:tcW w:type="dxa" w:w="283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Notes &amp; Details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Tours &amp; Activities</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Tours &amp; Activities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300,000+ activities. Viator + Tiqets-powered. Deep-link or full booking.</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Travel Insurance Quotes</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Travel Insurance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Real-time quotes from leading insurers. Domestic + international plans.</w:t>
            </w:r>
          </w:p>
        </w:tc>
      </w:tr>
    </w:tbl>
    <w:p>
      <w:pPr>
        <w:spacing w:before="0" w:after="0"/>
      </w:pPr>
      <w:r>
        <w:rPr>
          <w:sz w:val="12"/>
          <w:szCs w:val="12"/>
        </w:rPr>
        <w:t xml:space="preserve"/>
      </w:r>
    </w:p>
    <w:p>
      <w:pPr>
        <w:pStyle w:val="Heading2"/>
        <w:spacing w:before="280" w:after="100"/>
      </w:pPr>
      <w:r>
        <w:rPr>
          <w:rFonts w:ascii="Arial" w:cs="Arial" w:eastAsia="Arial" w:hAnsi="Arial"/>
          <w:b/>
          <w:bCs/>
          <w:color w:val="2E6DA4"/>
          <w:sz w:val="24"/>
          <w:szCs w:val="24"/>
        </w:rPr>
        <w:t xml:space="preserve">10.4 Agent Operations &amp; B2B Platform Features</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268"/>
        <w:gridCol w:w="2155"/>
        <w:gridCol w:w="1247"/>
        <w:gridCol w:w="1247"/>
        <w:gridCol w:w="2835"/>
      </w:tblGrid>
      <w:tr>
        <w:trPr>
          <w:tblHeader/>
        </w:trPr>
        <w:tc>
          <w:tcPr>
            <w:tcW w:type="dxa" w:w="2268"/>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Feature / Capability</w:t>
            </w:r>
          </w:p>
        </w:tc>
        <w:tc>
          <w:tcPr>
            <w:tcW w:type="dxa" w:w="215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Amadeus API / Product</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Self-Service</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Enterprise</w:t>
            </w:r>
          </w:p>
        </w:tc>
        <w:tc>
          <w:tcPr>
            <w:tcW w:type="dxa" w:w="283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Notes &amp; Details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Queue Management for Agents</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Enterprise PNR Queue System</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Route PNRs to specific agent desks by type (ticketing, changes, refunds). Enterprise only.</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Agent Role-Based Access</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Platform-built</w:t>
            </w:r>
          </w:p>
        </w:tc>
        <w:tc>
          <w:tcPr>
            <w:tcW w:type="dxa" w:w="1247"/>
            <w:tcBorders>
              <w:top w:val="single" w:color="C8D6E5" w:sz="1"/>
              <w:left w:val="single" w:color="C8D6E5" w:sz="1"/>
              <w:bottom w:val="single" w:color="C8D6E5" w:sz="1"/>
              <w:right w:val="single" w:color="C8D6E5" w:sz="1"/>
            </w:tcBorders>
            <w:shd w:fill="D6E4F0" w:val="clear"/>
            <w:tcMar>
              <w:top w:type="dxa" w:w="80"/>
              <w:left w:type="dxa" w:w="60"/>
              <w:bottom w:type="dxa" w:w="80"/>
              <w:right w:type="dxa" w:w="60"/>
            </w:tcMar>
            <w:vAlign w:val="center"/>
          </w:tcPr>
          <w:p>
            <w:pPr>
              <w:jc w:val="center"/>
            </w:pPr>
            <w:r>
              <w:rPr>
                <w:rFonts w:ascii="Arial" w:cs="Arial" w:eastAsia="Arial" w:hAnsi="Arial"/>
                <w:b/>
                <w:bCs/>
                <w:color w:val="2E6DA4"/>
                <w:sz w:val="15"/>
                <w:szCs w:val="15"/>
              </w:rPr>
              <w:t xml:space="preserve">✔ Platform</w:t>
            </w:r>
          </w:p>
        </w:tc>
        <w:tc>
          <w:tcPr>
            <w:tcW w:type="dxa" w:w="1247"/>
            <w:tcBorders>
              <w:top w:val="single" w:color="C8D6E5" w:sz="1"/>
              <w:left w:val="single" w:color="C8D6E5" w:sz="1"/>
              <w:bottom w:val="single" w:color="C8D6E5" w:sz="1"/>
              <w:right w:val="single" w:color="C8D6E5" w:sz="1"/>
            </w:tcBorders>
            <w:shd w:fill="D6E4F0" w:val="clear"/>
            <w:tcMar>
              <w:top w:type="dxa" w:w="80"/>
              <w:left w:type="dxa" w:w="60"/>
              <w:bottom w:type="dxa" w:w="80"/>
              <w:right w:type="dxa" w:w="60"/>
            </w:tcMar>
            <w:vAlign w:val="center"/>
          </w:tcPr>
          <w:p>
            <w:pPr>
              <w:jc w:val="center"/>
            </w:pPr>
            <w:r>
              <w:rPr>
                <w:rFonts w:ascii="Arial" w:cs="Arial" w:eastAsia="Arial" w:hAnsi="Arial"/>
                <w:b/>
                <w:bCs/>
                <w:color w:val="2E6DA4"/>
                <w:sz w:val="15"/>
                <w:szCs w:val="15"/>
              </w:rPr>
              <w:t xml:space="preserve">✔ Platform</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Admin / senior agent / junior agent permission levels. Platform-side feature.</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Sub-Agent Credit Limits</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Platform-built</w:t>
            </w:r>
          </w:p>
        </w:tc>
        <w:tc>
          <w:tcPr>
            <w:tcW w:type="dxa" w:w="1247"/>
            <w:tcBorders>
              <w:top w:val="single" w:color="C8D6E5" w:sz="1"/>
              <w:left w:val="single" w:color="C8D6E5" w:sz="1"/>
              <w:bottom w:val="single" w:color="C8D6E5" w:sz="1"/>
              <w:right w:val="single" w:color="C8D6E5" w:sz="1"/>
            </w:tcBorders>
            <w:shd w:fill="D6E4F0" w:val="clear"/>
            <w:tcMar>
              <w:top w:type="dxa" w:w="80"/>
              <w:left w:type="dxa" w:w="60"/>
              <w:bottom w:type="dxa" w:w="80"/>
              <w:right w:type="dxa" w:w="60"/>
            </w:tcMar>
            <w:vAlign w:val="center"/>
          </w:tcPr>
          <w:p>
            <w:pPr>
              <w:jc w:val="center"/>
            </w:pPr>
            <w:r>
              <w:rPr>
                <w:rFonts w:ascii="Arial" w:cs="Arial" w:eastAsia="Arial" w:hAnsi="Arial"/>
                <w:b/>
                <w:bCs/>
                <w:color w:val="2E6DA4"/>
                <w:sz w:val="15"/>
                <w:szCs w:val="15"/>
              </w:rPr>
              <w:t xml:space="preserve">✔ Platform</w:t>
            </w:r>
          </w:p>
        </w:tc>
        <w:tc>
          <w:tcPr>
            <w:tcW w:type="dxa" w:w="1247"/>
            <w:tcBorders>
              <w:top w:val="single" w:color="C8D6E5" w:sz="1"/>
              <w:left w:val="single" w:color="C8D6E5" w:sz="1"/>
              <w:bottom w:val="single" w:color="C8D6E5" w:sz="1"/>
              <w:right w:val="single" w:color="C8D6E5" w:sz="1"/>
            </w:tcBorders>
            <w:shd w:fill="D6E4F0" w:val="clear"/>
            <w:tcMar>
              <w:top w:type="dxa" w:w="80"/>
              <w:left w:type="dxa" w:w="60"/>
              <w:bottom w:type="dxa" w:w="80"/>
              <w:right w:type="dxa" w:w="60"/>
            </w:tcMar>
            <w:vAlign w:val="center"/>
          </w:tcPr>
          <w:p>
            <w:pPr>
              <w:jc w:val="center"/>
            </w:pPr>
            <w:r>
              <w:rPr>
                <w:rFonts w:ascii="Arial" w:cs="Arial" w:eastAsia="Arial" w:hAnsi="Arial"/>
                <w:b/>
                <w:bCs/>
                <w:color w:val="2E6DA4"/>
                <w:sz w:val="15"/>
                <w:szCs w:val="15"/>
              </w:rPr>
              <w:t xml:space="preserve">✔ Platform</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Amadeus does not manage B2B credit limits. Built internally by your platform.</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White-Label Sub-Agent Portal</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Platform-built + Amadeus APIs</w:t>
            </w:r>
          </w:p>
        </w:tc>
        <w:tc>
          <w:tcPr>
            <w:tcW w:type="dxa" w:w="1247"/>
            <w:tcBorders>
              <w:top w:val="single" w:color="C8D6E5" w:sz="1"/>
              <w:left w:val="single" w:color="C8D6E5" w:sz="1"/>
              <w:bottom w:val="single" w:color="C8D6E5" w:sz="1"/>
              <w:right w:val="single" w:color="C8D6E5" w:sz="1"/>
            </w:tcBorders>
            <w:shd w:fill="D6E4F0" w:val="clear"/>
            <w:tcMar>
              <w:top w:type="dxa" w:w="80"/>
              <w:left w:type="dxa" w:w="60"/>
              <w:bottom w:type="dxa" w:w="80"/>
              <w:right w:type="dxa" w:w="60"/>
            </w:tcMar>
            <w:vAlign w:val="center"/>
          </w:tcPr>
          <w:p>
            <w:pPr>
              <w:jc w:val="center"/>
            </w:pPr>
            <w:r>
              <w:rPr>
                <w:rFonts w:ascii="Arial" w:cs="Arial" w:eastAsia="Arial" w:hAnsi="Arial"/>
                <w:b/>
                <w:bCs/>
                <w:color w:val="2E6DA4"/>
                <w:sz w:val="15"/>
                <w:szCs w:val="15"/>
              </w:rPr>
              <w:t xml:space="preserve">✔ Platform</w:t>
            </w:r>
          </w:p>
        </w:tc>
        <w:tc>
          <w:tcPr>
            <w:tcW w:type="dxa" w:w="1247"/>
            <w:tcBorders>
              <w:top w:val="single" w:color="C8D6E5" w:sz="1"/>
              <w:left w:val="single" w:color="C8D6E5" w:sz="1"/>
              <w:bottom w:val="single" w:color="C8D6E5" w:sz="1"/>
              <w:right w:val="single" w:color="C8D6E5" w:sz="1"/>
            </w:tcBorders>
            <w:shd w:fill="D6E4F0" w:val="clear"/>
            <w:tcMar>
              <w:top w:type="dxa" w:w="80"/>
              <w:left w:type="dxa" w:w="60"/>
              <w:bottom w:type="dxa" w:w="80"/>
              <w:right w:type="dxa" w:w="60"/>
            </w:tcMar>
            <w:vAlign w:val="center"/>
          </w:tcPr>
          <w:p>
            <w:pPr>
              <w:jc w:val="center"/>
            </w:pPr>
            <w:r>
              <w:rPr>
                <w:rFonts w:ascii="Arial" w:cs="Arial" w:eastAsia="Arial" w:hAnsi="Arial"/>
                <w:b/>
                <w:bCs/>
                <w:color w:val="2E6DA4"/>
                <w:sz w:val="15"/>
                <w:szCs w:val="15"/>
              </w:rPr>
              <w:t xml:space="preserve">✔ Platform</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Sub-agents access inventory under your brand. Your platform handles auth and UX.</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Agent Performance Analytics</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Platform-built</w:t>
            </w:r>
          </w:p>
        </w:tc>
        <w:tc>
          <w:tcPr>
            <w:tcW w:type="dxa" w:w="1247"/>
            <w:tcBorders>
              <w:top w:val="single" w:color="C8D6E5" w:sz="1"/>
              <w:left w:val="single" w:color="C8D6E5" w:sz="1"/>
              <w:bottom w:val="single" w:color="C8D6E5" w:sz="1"/>
              <w:right w:val="single" w:color="C8D6E5" w:sz="1"/>
            </w:tcBorders>
            <w:shd w:fill="D6E4F0" w:val="clear"/>
            <w:tcMar>
              <w:top w:type="dxa" w:w="80"/>
              <w:left w:type="dxa" w:w="60"/>
              <w:bottom w:type="dxa" w:w="80"/>
              <w:right w:type="dxa" w:w="60"/>
            </w:tcMar>
            <w:vAlign w:val="center"/>
          </w:tcPr>
          <w:p>
            <w:pPr>
              <w:jc w:val="center"/>
            </w:pPr>
            <w:r>
              <w:rPr>
                <w:rFonts w:ascii="Arial" w:cs="Arial" w:eastAsia="Arial" w:hAnsi="Arial"/>
                <w:b/>
                <w:bCs/>
                <w:color w:val="2E6DA4"/>
                <w:sz w:val="15"/>
                <w:szCs w:val="15"/>
              </w:rPr>
              <w:t xml:space="preserve">✔ Platform</w:t>
            </w:r>
          </w:p>
        </w:tc>
        <w:tc>
          <w:tcPr>
            <w:tcW w:type="dxa" w:w="1247"/>
            <w:tcBorders>
              <w:top w:val="single" w:color="C8D6E5" w:sz="1"/>
              <w:left w:val="single" w:color="C8D6E5" w:sz="1"/>
              <w:bottom w:val="single" w:color="C8D6E5" w:sz="1"/>
              <w:right w:val="single" w:color="C8D6E5" w:sz="1"/>
            </w:tcBorders>
            <w:shd w:fill="D6E4F0" w:val="clear"/>
            <w:tcMar>
              <w:top w:type="dxa" w:w="80"/>
              <w:left w:type="dxa" w:w="60"/>
              <w:bottom w:type="dxa" w:w="80"/>
              <w:right w:type="dxa" w:w="60"/>
            </w:tcMar>
            <w:vAlign w:val="center"/>
          </w:tcPr>
          <w:p>
            <w:pPr>
              <w:jc w:val="center"/>
            </w:pPr>
            <w:r>
              <w:rPr>
                <w:rFonts w:ascii="Arial" w:cs="Arial" w:eastAsia="Arial" w:hAnsi="Arial"/>
                <w:b/>
                <w:bCs/>
                <w:color w:val="2E6DA4"/>
                <w:sz w:val="15"/>
                <w:szCs w:val="15"/>
              </w:rPr>
              <w:t xml:space="preserve">✔ Platform</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Not Amadeus. Your platform tracks bookings per agent, conversion rates, revenue.</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Market Trend Reporting</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Flight Most Booked/Traveled APIs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Trending routes, seasonal demand data. Available both tiers.</w:t>
            </w:r>
          </w:p>
        </w:tc>
      </w:tr>
    </w:tbl>
    <w:p>
      <w:pPr>
        <w:spacing w:before="0" w:after="0"/>
      </w:pPr>
      <w:r>
        <w:rPr>
          <w:sz w:val="12"/>
          <w:szCs w:val="12"/>
        </w:rPr>
        <w:t xml:space="preserve"/>
      </w:r>
    </w:p>
    <w:p>
      <w:pPr>
        <w:pStyle w:val="Heading2"/>
        <w:spacing w:before="280" w:after="100"/>
      </w:pPr>
      <w:r>
        <w:rPr>
          <w:rFonts w:ascii="Arial" w:cs="Arial" w:eastAsia="Arial" w:hAnsi="Arial"/>
          <w:b/>
          <w:bCs/>
          <w:color w:val="2E6DA4"/>
          <w:sz w:val="24"/>
          <w:szCs w:val="24"/>
        </w:rPr>
        <w:t xml:space="preserve">10.5 Loyalty &amp; Frequent Flyer</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268"/>
        <w:gridCol w:w="2155"/>
        <w:gridCol w:w="1247"/>
        <w:gridCol w:w="1247"/>
        <w:gridCol w:w="2835"/>
      </w:tblGrid>
      <w:tr>
        <w:trPr>
          <w:tblHeader/>
        </w:trPr>
        <w:tc>
          <w:tcPr>
            <w:tcW w:type="dxa" w:w="2268"/>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Feature / Capability</w:t>
            </w:r>
          </w:p>
        </w:tc>
        <w:tc>
          <w:tcPr>
            <w:tcW w:type="dxa" w:w="215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Amadeus API / Product</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Self-Service</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Enterprise</w:t>
            </w:r>
          </w:p>
        </w:tc>
        <w:tc>
          <w:tcPr>
            <w:tcW w:type="dxa" w:w="283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Notes &amp; Details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Add Frequent Flyer Number to PNR</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Flight Create Orders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Traveler loyalty number stored in PNR. Validated by airline per its FFP rules.</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Book Using Miles / Award Tickets</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N/A</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Amadeus APIs do not support award/miles redemption booking in either tier.</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Miles Accrual Tracking</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Airline-side only</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Not accessible via Amadeus. Handled by airline's own loyalty platform.</w:t>
            </w:r>
          </w:p>
        </w:tc>
      </w:tr>
    </w:tbl>
    <w:p>
      <w:pPr>
        <w:spacing w:before="0" w:after="0"/>
      </w:pPr>
      <w:r>
        <w:rPr>
          <w:sz w:val="24"/>
          <w:szCs w:val="24"/>
        </w:rPr>
        <w:t xml:space="preserve"/>
      </w:r>
    </w:p>
    <w:p>
      <w:pPr>
        <w:pStyle w:val="Heading1"/>
        <w:pBdr>
          <w:bottom w:val="single" w:color="2E6DA4" w:sz="4" w:space="6"/>
        </w:pBdr>
        <w:spacing w:before="400" w:after="160"/>
      </w:pPr>
      <w:r>
        <w:rPr>
          <w:rFonts w:ascii="Arial" w:cs="Arial" w:eastAsia="Arial" w:hAnsi="Arial"/>
          <w:b/>
          <w:bCs/>
          <w:color w:val="1A3C6B"/>
          <w:sz w:val="28"/>
          <w:szCs w:val="28"/>
        </w:rPr>
        <w:t xml:space="preserve">11. API Tier Comparison — Self-Service vs Enterprise</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4763"/>
        <w:gridCol w:w="4990"/>
      </w:tblGrid>
      <w:tr>
        <w:tc>
          <w:tcPr>
            <w:tcW w:type="dxa" w:w="4763"/>
            <w:tcBorders>
              <w:top w:val="none" w:color="FFFFFF" w:sz="0"/>
              <w:left w:val="none" w:color="FFFFFF" w:sz="0"/>
              <w:bottom w:val="none" w:color="FFFFFF" w:sz="0"/>
              <w:right w:val="none" w:color="FFFFFF" w:sz="0"/>
            </w:tcBorders>
            <w:shd w:fill="D6E4F0" w:val="clear"/>
            <w:tcMar>
              <w:top w:type="dxa" w:w="140"/>
              <w:left w:type="dxa" w:w="180"/>
              <w:bottom w:type="dxa" w:w="140"/>
              <w:right w:type="dxa" w:w="180"/>
            </w:tcMar>
          </w:tcPr>
          <w:p>
            <w:pPr>
              <w:spacing w:before="0" w:after="40"/>
            </w:pPr>
            <w:r>
              <w:rPr>
                <w:rFonts w:ascii="Arial" w:cs="Arial" w:eastAsia="Arial" w:hAnsi="Arial"/>
                <w:b/>
                <w:bCs/>
                <w:color w:val="1A3C6B"/>
                <w:sz w:val="21"/>
                <w:szCs w:val="21"/>
              </w:rPr>
              <w:t xml:space="preserve">Self-Service API Tier</w:t>
            </w:r>
          </w:p>
          <w:p>
            <w:pPr>
              <w:spacing w:before="40" w:after="40"/>
            </w:pPr>
            <w:r>
              <w:rPr>
                <w:rFonts w:ascii="Arial" w:cs="Arial" w:eastAsia="Arial" w:hAnsi="Arial"/>
                <w:b w:val="false"/>
                <w:bCs w:val="false"/>
                <w:color w:val="1A1A1A"/>
                <w:sz w:val="19"/>
                <w:szCs w:val="19"/>
              </w:rPr>
              <w:t xml:space="preserve">Best For: Startups, new OTAs, MVP development</w:t>
            </w:r>
          </w:p>
          <w:p>
            <w:pPr>
              <w:spacing w:before="40" w:after="40"/>
            </w:pPr>
            <w:r>
              <w:rPr>
                <w:rFonts w:ascii="Arial" w:cs="Arial" w:eastAsia="Arial" w:hAnsi="Arial"/>
                <w:b w:val="false"/>
                <w:bCs w:val="false"/>
                <w:color w:val="1A1A1A"/>
                <w:sz w:val="19"/>
                <w:szCs w:val="19"/>
              </w:rPr>
              <w:t xml:space="preserve">Cost: Free to start; pay-per-use at scale</w:t>
            </w:r>
          </w:p>
          <w:p>
            <w:pPr>
              <w:spacing w:before="40" w:after="40"/>
            </w:pPr>
            <w:r>
              <w:rPr>
                <w:rFonts w:ascii="Arial" w:cs="Arial" w:eastAsia="Arial" w:hAnsi="Arial"/>
                <w:b w:val="false"/>
                <w:bCs w:val="false"/>
                <w:color w:val="1A1A1A"/>
                <w:sz w:val="19"/>
                <w:szCs w:val="19"/>
              </w:rPr>
              <w:t xml:space="preserve">Access: Instant — developers.amadeus.com</w:t>
            </w:r>
          </w:p>
          <w:p>
            <w:pPr>
              <w:spacing w:before="40" w:after="40"/>
            </w:pPr>
            <w:r>
              <w:rPr>
                <w:rFonts w:ascii="Arial" w:cs="Arial" w:eastAsia="Arial" w:hAnsi="Arial"/>
                <w:b w:val="false"/>
                <w:bCs w:val="false"/>
                <w:color w:val="1A1A1A"/>
                <w:sz w:val="19"/>
                <w:szCs w:val="19"/>
              </w:rPr>
              <w:t xml:space="preserve">Airlines: 400+ (no AA, Delta, BA, LCCs)</w:t>
            </w:r>
          </w:p>
          <w:p>
            <w:pPr>
              <w:spacing w:before="40" w:after="40"/>
            </w:pPr>
            <w:r>
              <w:rPr>
                <w:rFonts w:ascii="Arial" w:cs="Arial" w:eastAsia="Arial" w:hAnsi="Arial"/>
                <w:b w:val="false"/>
                <w:bCs w:val="false"/>
                <w:color w:val="1A1A1A"/>
                <w:sz w:val="19"/>
                <w:szCs w:val="19"/>
              </w:rPr>
              <w:t xml:space="preserve">Fares: Published/public GDS fares only</w:t>
            </w:r>
          </w:p>
          <w:p>
            <w:pPr>
              <w:spacing w:before="40" w:after="40"/>
            </w:pPr>
            <w:r>
              <w:rPr>
                <w:rFonts w:ascii="Arial" w:cs="Arial" w:eastAsia="Arial" w:hAnsi="Arial"/>
                <w:b w:val="false"/>
                <w:bCs w:val="false"/>
                <w:color w:val="1A1A1A"/>
                <w:sz w:val="19"/>
                <w:szCs w:val="19"/>
              </w:rPr>
              <w:t xml:space="preserve">NDC Content: Not available</w:t>
            </w:r>
          </w:p>
          <w:p>
            <w:pPr>
              <w:spacing w:before="40" w:after="40"/>
            </w:pPr>
            <w:r>
              <w:rPr>
                <w:rFonts w:ascii="Arial" w:cs="Arial" w:eastAsia="Arial" w:hAnsi="Arial"/>
                <w:b w:val="false"/>
                <w:bCs w:val="false"/>
                <w:color w:val="1A1A1A"/>
                <w:sz w:val="19"/>
                <w:szCs w:val="19"/>
              </w:rPr>
              <w:t xml:space="preserve">Ticketing: Via approved consolidator partner</w:t>
            </w:r>
          </w:p>
          <w:p>
            <w:pPr>
              <w:spacing w:before="40" w:after="40"/>
            </w:pPr>
            <w:r>
              <w:rPr>
                <w:rFonts w:ascii="Arial" w:cs="Arial" w:eastAsia="Arial" w:hAnsi="Arial"/>
                <w:b w:val="false"/>
                <w:bCs w:val="false"/>
                <w:color w:val="1A1A1A"/>
                <w:sz w:val="19"/>
                <w:szCs w:val="19"/>
              </w:rPr>
              <w:t xml:space="preserve">Post-Booking Mods: Via consolidator (offline)</w:t>
            </w:r>
          </w:p>
          <w:p>
            <w:pPr>
              <w:spacing w:before="40" w:after="40"/>
            </w:pPr>
            <w:r>
              <w:rPr>
                <w:rFonts w:ascii="Arial" w:cs="Arial" w:eastAsia="Arial" w:hAnsi="Arial"/>
                <w:b w:val="false"/>
                <w:bCs w:val="false"/>
                <w:color w:val="1A1A1A"/>
                <w:sz w:val="19"/>
                <w:szCs w:val="19"/>
              </w:rPr>
              <w:t xml:space="preserve">Refund Processing: Via consolidator</w:t>
            </w:r>
          </w:p>
          <w:p>
            <w:pPr>
              <w:spacing w:before="40" w:after="40"/>
            </w:pPr>
            <w:r>
              <w:rPr>
                <w:rFonts w:ascii="Arial" w:cs="Arial" w:eastAsia="Arial" w:hAnsi="Arial"/>
                <w:b w:val="false"/>
                <w:bCs w:val="false"/>
                <w:color w:val="1A1A1A"/>
                <w:sz w:val="19"/>
                <w:szCs w:val="19"/>
              </w:rPr>
              <w:t xml:space="preserve">Group Bookings: Not supported</w:t>
            </w:r>
          </w:p>
          <w:p>
            <w:pPr>
              <w:spacing w:before="40" w:after="40"/>
            </w:pPr>
            <w:r>
              <w:rPr>
                <w:rFonts w:ascii="Arial" w:cs="Arial" w:eastAsia="Arial" w:hAnsi="Arial"/>
                <w:b w:val="false"/>
                <w:bCs w:val="false"/>
                <w:color w:val="1A1A1A"/>
                <w:sz w:val="19"/>
                <w:szCs w:val="19"/>
              </w:rPr>
              <w:t xml:space="preserve">Fare Rules: Raw text format (ATPCO)</w:t>
            </w:r>
          </w:p>
          <w:p>
            <w:pPr>
              <w:spacing w:before="40" w:after="40"/>
            </w:pPr>
            <w:r>
              <w:rPr>
                <w:rFonts w:ascii="Arial" w:cs="Arial" w:eastAsia="Arial" w:hAnsi="Arial"/>
                <w:b w:val="false"/>
                <w:bCs w:val="false"/>
                <w:color w:val="1A1A1A"/>
                <w:sz w:val="19"/>
                <w:szCs w:val="19"/>
              </w:rPr>
              <w:t xml:space="preserve">GDS Incentives: Not available</w:t>
            </w:r>
          </w:p>
          <w:p>
            <w:pPr>
              <w:spacing w:before="40" w:after="40"/>
            </w:pPr>
            <w:r>
              <w:rPr>
                <w:rFonts w:ascii="Arial" w:cs="Arial" w:eastAsia="Arial" w:hAnsi="Arial"/>
                <w:b w:val="false"/>
                <w:bCs w:val="false"/>
                <w:color w:val="1A1A1A"/>
                <w:sz w:val="19"/>
                <w:szCs w:val="19"/>
              </w:rPr>
              <w:t xml:space="preserve">Support: Email + Discord community</w:t>
            </w:r>
          </w:p>
          <w:p>
            <w:pPr>
              <w:spacing w:before="40" w:after="40"/>
            </w:pPr>
            <w:r>
              <w:rPr>
                <w:rFonts w:ascii="Arial" w:cs="Arial" w:eastAsia="Arial" w:hAnsi="Arial"/>
                <w:b w:val="false"/>
                <w:bCs w:val="false"/>
                <w:color w:val="1A1A1A"/>
                <w:sz w:val="19"/>
                <w:szCs w:val="19"/>
              </w:rPr>
              <w:t xml:space="preserve">Go-Live Time: Days to weeks</w:t>
            </w:r>
          </w:p>
        </w:tc>
        <w:tc>
          <w:tcPr>
            <w:tcW w:type="dxa" w:w="4990"/>
            <w:tcBorders>
              <w:top w:val="none" w:color="FFFFFF" w:sz="0"/>
              <w:left w:val="none" w:color="FFFFFF" w:sz="0"/>
              <w:bottom w:val="none" w:color="FFFFFF" w:sz="0"/>
              <w:right w:val="none" w:color="FFFFFF" w:sz="0"/>
            </w:tcBorders>
            <w:shd w:fill="D6F0E2" w:val="clear"/>
            <w:tcMar>
              <w:top w:type="dxa" w:w="140"/>
              <w:left w:type="dxa" w:w="180"/>
              <w:bottom w:type="dxa" w:w="140"/>
              <w:right w:type="dxa" w:w="180"/>
            </w:tcMar>
          </w:tcPr>
          <w:p>
            <w:pPr>
              <w:spacing w:before="0" w:after="40"/>
            </w:pPr>
            <w:r>
              <w:rPr>
                <w:rFonts w:ascii="Arial" w:cs="Arial" w:eastAsia="Arial" w:hAnsi="Arial"/>
                <w:b/>
                <w:bCs/>
                <w:color w:val="1E7E4E"/>
                <w:sz w:val="21"/>
                <w:szCs w:val="21"/>
              </w:rPr>
              <w:t xml:space="preserve">Enterprise API Tier</w:t>
            </w:r>
          </w:p>
          <w:p>
            <w:pPr>
              <w:spacing w:before="40" w:after="40"/>
            </w:pPr>
            <w:r>
              <w:rPr>
                <w:rFonts w:ascii="Arial" w:cs="Arial" w:eastAsia="Arial" w:hAnsi="Arial"/>
                <w:b w:val="false"/>
                <w:bCs w:val="false"/>
                <w:color w:val="1A1A1A"/>
                <w:sz w:val="19"/>
                <w:szCs w:val="19"/>
              </w:rPr>
              <w:t xml:space="preserve">Best For: IATA agencies, TMCs, large OTAs</w:t>
            </w:r>
          </w:p>
          <w:p>
            <w:pPr>
              <w:spacing w:before="40" w:after="40"/>
            </w:pPr>
            <w:r>
              <w:rPr>
                <w:rFonts w:ascii="Arial" w:cs="Arial" w:eastAsia="Arial" w:hAnsi="Arial"/>
                <w:b w:val="false"/>
                <w:bCs w:val="false"/>
                <w:color w:val="1A1A1A"/>
                <w:sz w:val="19"/>
                <w:szCs w:val="19"/>
              </w:rPr>
              <w:t xml:space="preserve">Cost: Monthly fee + per-transaction (negotiated)</w:t>
            </w:r>
          </w:p>
          <w:p>
            <w:pPr>
              <w:spacing w:before="40" w:after="40"/>
            </w:pPr>
            <w:r>
              <w:rPr>
                <w:rFonts w:ascii="Arial" w:cs="Arial" w:eastAsia="Arial" w:hAnsi="Arial"/>
                <w:b w:val="false"/>
                <w:bCs w:val="false"/>
                <w:color w:val="1A1A1A"/>
                <w:sz w:val="19"/>
                <w:szCs w:val="19"/>
              </w:rPr>
              <w:t xml:space="preserve">Access: 4–12 weeks + IATA accreditation</w:t>
            </w:r>
          </w:p>
          <w:p>
            <w:pPr>
              <w:spacing w:before="40" w:after="40"/>
            </w:pPr>
            <w:r>
              <w:rPr>
                <w:rFonts w:ascii="Arial" w:cs="Arial" w:eastAsia="Arial" w:hAnsi="Arial"/>
                <w:b w:val="false"/>
                <w:bCs w:val="false"/>
                <w:color w:val="1A1A1A"/>
                <w:sz w:val="19"/>
                <w:szCs w:val="19"/>
              </w:rPr>
              <w:t xml:space="preserve">Airlines: 900+ including LCCs, AA, Delta, BA</w:t>
            </w:r>
          </w:p>
          <w:p>
            <w:pPr>
              <w:spacing w:before="40" w:after="40"/>
            </w:pPr>
            <w:r>
              <w:rPr>
                <w:rFonts w:ascii="Arial" w:cs="Arial" w:eastAsia="Arial" w:hAnsi="Arial"/>
                <w:b w:val="false"/>
                <w:bCs w:val="false"/>
                <w:color w:val="1A1A1A"/>
                <w:sz w:val="19"/>
                <w:szCs w:val="19"/>
              </w:rPr>
              <w:t xml:space="preserve">Fares: Negotiated, private, net, NDC fares</w:t>
            </w:r>
          </w:p>
          <w:p>
            <w:pPr>
              <w:spacing w:before="40" w:after="40"/>
            </w:pPr>
            <w:r>
              <w:rPr>
                <w:rFonts w:ascii="Arial" w:cs="Arial" w:eastAsia="Arial" w:hAnsi="Arial"/>
                <w:b w:val="false"/>
                <w:bCs w:val="false"/>
                <w:color w:val="1A1A1A"/>
                <w:sz w:val="19"/>
                <w:szCs w:val="19"/>
              </w:rPr>
              <w:t xml:space="preserve">NDC Content: 35+ airlines with direct NDC</w:t>
            </w:r>
          </w:p>
          <w:p>
            <w:pPr>
              <w:spacing w:before="40" w:after="40"/>
            </w:pPr>
            <w:r>
              <w:rPr>
                <w:rFonts w:ascii="Arial" w:cs="Arial" w:eastAsia="Arial" w:hAnsi="Arial"/>
                <w:b w:val="false"/>
                <w:bCs w:val="false"/>
                <w:color w:val="1A1A1A"/>
                <w:sz w:val="19"/>
                <w:szCs w:val="19"/>
              </w:rPr>
              <w:t xml:space="preserve">Ticketing: Direct BSP / ARC issuance</w:t>
            </w:r>
          </w:p>
          <w:p>
            <w:pPr>
              <w:spacing w:before="40" w:after="40"/>
            </w:pPr>
            <w:r>
              <w:rPr>
                <w:rFonts w:ascii="Arial" w:cs="Arial" w:eastAsia="Arial" w:hAnsi="Arial"/>
                <w:b w:val="false"/>
                <w:bCs w:val="false"/>
                <w:color w:val="1A1A1A"/>
                <w:sz w:val="19"/>
                <w:szCs w:val="19"/>
              </w:rPr>
              <w:t xml:space="preserve">Post-Booking Mods: Full API (ATC) — reissue, void</w:t>
            </w:r>
          </w:p>
          <w:p>
            <w:pPr>
              <w:spacing w:before="40" w:after="40"/>
            </w:pPr>
            <w:r>
              <w:rPr>
                <w:rFonts w:ascii="Arial" w:cs="Arial" w:eastAsia="Arial" w:hAnsi="Arial"/>
                <w:b w:val="false"/>
                <w:bCs w:val="false"/>
                <w:color w:val="1A1A1A"/>
                <w:sz w:val="19"/>
                <w:szCs w:val="19"/>
              </w:rPr>
              <w:t xml:space="preserve">Refund Processing: ATC automated (ATPCO Cat 33)</w:t>
            </w:r>
          </w:p>
          <w:p>
            <w:pPr>
              <w:spacing w:before="40" w:after="40"/>
            </w:pPr>
            <w:r>
              <w:rPr>
                <w:rFonts w:ascii="Arial" w:cs="Arial" w:eastAsia="Arial" w:hAnsi="Arial"/>
                <w:b w:val="false"/>
                <w:bCs w:val="false"/>
                <w:color w:val="1A1A1A"/>
                <w:sz w:val="19"/>
                <w:szCs w:val="19"/>
              </w:rPr>
              <w:t xml:space="preserve">Group Bookings: Supported</w:t>
            </w:r>
          </w:p>
          <w:p>
            <w:pPr>
              <w:spacing w:before="40" w:after="40"/>
            </w:pPr>
            <w:r>
              <w:rPr>
                <w:rFonts w:ascii="Arial" w:cs="Arial" w:eastAsia="Arial" w:hAnsi="Arial"/>
                <w:b w:val="false"/>
                <w:bCs w:val="false"/>
                <w:color w:val="1A1A1A"/>
                <w:sz w:val="19"/>
                <w:szCs w:val="19"/>
              </w:rPr>
              <w:t xml:space="preserve">Fare Rules: Structured, machine-readable</w:t>
            </w:r>
          </w:p>
          <w:p>
            <w:pPr>
              <w:spacing w:before="40" w:after="40"/>
            </w:pPr>
            <w:r>
              <w:rPr>
                <w:rFonts w:ascii="Arial" w:cs="Arial" w:eastAsia="Arial" w:hAnsi="Arial"/>
                <w:b w:val="false"/>
                <w:bCs w:val="false"/>
                <w:color w:val="1A1A1A"/>
                <w:sz w:val="19"/>
                <w:szCs w:val="19"/>
              </w:rPr>
              <w:t xml:space="preserve">GDS Incentives: Per-segment incentives paid</w:t>
            </w:r>
          </w:p>
          <w:p>
            <w:pPr>
              <w:spacing w:before="40" w:after="40"/>
            </w:pPr>
            <w:r>
              <w:rPr>
                <w:rFonts w:ascii="Arial" w:cs="Arial" w:eastAsia="Arial" w:hAnsi="Arial"/>
                <w:b w:val="false"/>
                <w:bCs w:val="false"/>
                <w:color w:val="1A1A1A"/>
                <w:sz w:val="19"/>
                <w:szCs w:val="19"/>
              </w:rPr>
              <w:t xml:space="preserve">Support: Dedicated account manager + SLA</w:t>
            </w:r>
          </w:p>
          <w:p>
            <w:pPr>
              <w:spacing w:before="40" w:after="40"/>
            </w:pPr>
            <w:r>
              <w:rPr>
                <w:rFonts w:ascii="Arial" w:cs="Arial" w:eastAsia="Arial" w:hAnsi="Arial"/>
                <w:b w:val="false"/>
                <w:bCs w:val="false"/>
                <w:color w:val="1A1A1A"/>
                <w:sz w:val="19"/>
                <w:szCs w:val="19"/>
              </w:rPr>
              <w:t xml:space="preserve">Go-Live Time: 3–6 months incl. IATA</w:t>
            </w:r>
          </w:p>
        </w:tc>
      </w:tr>
    </w:tbl>
    <w:p>
      <w:pPr>
        <w:spacing w:before="0" w:after="0"/>
      </w:pPr>
      <w:r>
        <w:rPr>
          <w:sz w:val="24"/>
          <w:szCs w:val="24"/>
        </w:rPr>
        <w:t xml:space="preserve"/>
      </w:r>
    </w:p>
    <w:p>
      <w:pPr>
        <w:pStyle w:val="Heading1"/>
        <w:pBdr>
          <w:bottom w:val="single" w:color="2E6DA4" w:sz="4" w:space="6"/>
        </w:pBdr>
        <w:spacing w:before="400" w:after="160"/>
      </w:pPr>
      <w:r>
        <w:rPr>
          <w:rFonts w:ascii="Arial" w:cs="Arial" w:eastAsia="Arial" w:hAnsi="Arial"/>
          <w:b/>
          <w:bCs/>
          <w:color w:val="1A3C6B"/>
          <w:sz w:val="28"/>
          <w:szCs w:val="28"/>
        </w:rPr>
        <w:t xml:space="preserve">12. Payment &amp; BSP Settlement</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268"/>
        <w:gridCol w:w="2155"/>
        <w:gridCol w:w="1247"/>
        <w:gridCol w:w="1247"/>
        <w:gridCol w:w="2835"/>
      </w:tblGrid>
      <w:tr>
        <w:trPr>
          <w:tblHeader/>
        </w:trPr>
        <w:tc>
          <w:tcPr>
            <w:tcW w:type="dxa" w:w="2268"/>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Feature / Capability</w:t>
            </w:r>
          </w:p>
        </w:tc>
        <w:tc>
          <w:tcPr>
            <w:tcW w:type="dxa" w:w="215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Amadeus API / Product</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Self-Service</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Enterprise</w:t>
            </w:r>
          </w:p>
        </w:tc>
        <w:tc>
          <w:tcPr>
            <w:tcW w:type="dxa" w:w="283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Notes &amp; Details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Customer Payment Gateway</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External (Stripe, Razorpay, etc.)</w:t>
            </w:r>
          </w:p>
        </w:tc>
        <w:tc>
          <w:tcPr>
            <w:tcW w:type="dxa" w:w="1247"/>
            <w:tcBorders>
              <w:top w:val="single" w:color="C8D6E5" w:sz="1"/>
              <w:left w:val="single" w:color="C8D6E5" w:sz="1"/>
              <w:bottom w:val="single" w:color="C8D6E5" w:sz="1"/>
              <w:right w:val="single" w:color="C8D6E5" w:sz="1"/>
            </w:tcBorders>
            <w:shd w:fill="D6E4F0" w:val="clear"/>
            <w:tcMar>
              <w:top w:type="dxa" w:w="80"/>
              <w:left w:type="dxa" w:w="60"/>
              <w:bottom w:type="dxa" w:w="80"/>
              <w:right w:type="dxa" w:w="60"/>
            </w:tcMar>
            <w:vAlign w:val="center"/>
          </w:tcPr>
          <w:p>
            <w:pPr>
              <w:jc w:val="center"/>
            </w:pPr>
            <w:r>
              <w:rPr>
                <w:rFonts w:ascii="Arial" w:cs="Arial" w:eastAsia="Arial" w:hAnsi="Arial"/>
                <w:b/>
                <w:bCs/>
                <w:color w:val="2E6DA4"/>
                <w:sz w:val="15"/>
                <w:szCs w:val="15"/>
              </w:rPr>
              <w:t xml:space="preserve">✔ Platform</w:t>
            </w:r>
          </w:p>
        </w:tc>
        <w:tc>
          <w:tcPr>
            <w:tcW w:type="dxa" w:w="1247"/>
            <w:tcBorders>
              <w:top w:val="single" w:color="C8D6E5" w:sz="1"/>
              <w:left w:val="single" w:color="C8D6E5" w:sz="1"/>
              <w:bottom w:val="single" w:color="C8D6E5" w:sz="1"/>
              <w:right w:val="single" w:color="C8D6E5" w:sz="1"/>
            </w:tcBorders>
            <w:shd w:fill="D6E4F0" w:val="clear"/>
            <w:tcMar>
              <w:top w:type="dxa" w:w="80"/>
              <w:left w:type="dxa" w:w="60"/>
              <w:bottom w:type="dxa" w:w="80"/>
              <w:right w:type="dxa" w:w="60"/>
            </w:tcMar>
            <w:vAlign w:val="center"/>
          </w:tcPr>
          <w:p>
            <w:pPr>
              <w:jc w:val="center"/>
            </w:pPr>
            <w:r>
              <w:rPr>
                <w:rFonts w:ascii="Arial" w:cs="Arial" w:eastAsia="Arial" w:hAnsi="Arial"/>
                <w:b/>
                <w:bCs/>
                <w:color w:val="2E6DA4"/>
                <w:sz w:val="15"/>
                <w:szCs w:val="15"/>
              </w:rPr>
              <w:t xml:space="preserve">✔ Platform</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Amadeus does not process customer card payments. You integrate your own payment gateway.</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BSP Airline Settlement</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IATA BSPlink</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Self-Service: consolidator settles with BSP on your behalf. Enterprise: your agency settles directly.</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Virtual Credit Card (VCC) for Suppliers</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Outpayce by Amadeus</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Amadeus's payment subsidiary. Issuance and management of VCCs for B2B supplier payments. Enterprise.</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3D Secure / Fraud Prevention</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External PSP</w:t>
            </w:r>
          </w:p>
        </w:tc>
        <w:tc>
          <w:tcPr>
            <w:tcW w:type="dxa" w:w="1247"/>
            <w:tcBorders>
              <w:top w:val="single" w:color="C8D6E5" w:sz="1"/>
              <w:left w:val="single" w:color="C8D6E5" w:sz="1"/>
              <w:bottom w:val="single" w:color="C8D6E5" w:sz="1"/>
              <w:right w:val="single" w:color="C8D6E5" w:sz="1"/>
            </w:tcBorders>
            <w:shd w:fill="D6E4F0" w:val="clear"/>
            <w:tcMar>
              <w:top w:type="dxa" w:w="80"/>
              <w:left w:type="dxa" w:w="60"/>
              <w:bottom w:type="dxa" w:w="80"/>
              <w:right w:type="dxa" w:w="60"/>
            </w:tcMar>
            <w:vAlign w:val="center"/>
          </w:tcPr>
          <w:p>
            <w:pPr>
              <w:jc w:val="center"/>
            </w:pPr>
            <w:r>
              <w:rPr>
                <w:rFonts w:ascii="Arial" w:cs="Arial" w:eastAsia="Arial" w:hAnsi="Arial"/>
                <w:b/>
                <w:bCs/>
                <w:color w:val="2E6DA4"/>
                <w:sz w:val="15"/>
                <w:szCs w:val="15"/>
              </w:rPr>
              <w:t xml:space="preserve">✔ Platform</w:t>
            </w:r>
          </w:p>
        </w:tc>
        <w:tc>
          <w:tcPr>
            <w:tcW w:type="dxa" w:w="1247"/>
            <w:tcBorders>
              <w:top w:val="single" w:color="C8D6E5" w:sz="1"/>
              <w:left w:val="single" w:color="C8D6E5" w:sz="1"/>
              <w:bottom w:val="single" w:color="C8D6E5" w:sz="1"/>
              <w:right w:val="single" w:color="C8D6E5" w:sz="1"/>
            </w:tcBorders>
            <w:shd w:fill="D6E4F0" w:val="clear"/>
            <w:tcMar>
              <w:top w:type="dxa" w:w="80"/>
              <w:left w:type="dxa" w:w="60"/>
              <w:bottom w:type="dxa" w:w="80"/>
              <w:right w:type="dxa" w:w="60"/>
            </w:tcMar>
            <w:vAlign w:val="center"/>
          </w:tcPr>
          <w:p>
            <w:pPr>
              <w:jc w:val="center"/>
            </w:pPr>
            <w:r>
              <w:rPr>
                <w:rFonts w:ascii="Arial" w:cs="Arial" w:eastAsia="Arial" w:hAnsi="Arial"/>
                <w:b/>
                <w:bCs/>
                <w:color w:val="2E6DA4"/>
                <w:sz w:val="15"/>
                <w:szCs w:val="15"/>
              </w:rPr>
              <w:t xml:space="preserve">✔ Platform</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Handled by your payment gateway. Not Amadeus.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Multi-Currency Support</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Flight Offers Search + Price APIs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currencyCode parameter. Price returned in your chosen currency.</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Invoice / Receipt Generation</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Platform-built + BSPlink</w:t>
            </w:r>
          </w:p>
        </w:tc>
        <w:tc>
          <w:tcPr>
            <w:tcW w:type="dxa" w:w="1247"/>
            <w:tcBorders>
              <w:top w:val="single" w:color="C8D6E5" w:sz="1"/>
              <w:left w:val="single" w:color="C8D6E5" w:sz="1"/>
              <w:bottom w:val="single" w:color="C8D6E5" w:sz="1"/>
              <w:right w:val="single" w:color="C8D6E5" w:sz="1"/>
            </w:tcBorders>
            <w:shd w:fill="D6E4F0" w:val="clear"/>
            <w:tcMar>
              <w:top w:type="dxa" w:w="80"/>
              <w:left w:type="dxa" w:w="60"/>
              <w:bottom w:type="dxa" w:w="80"/>
              <w:right w:type="dxa" w:w="60"/>
            </w:tcMar>
            <w:vAlign w:val="center"/>
          </w:tcPr>
          <w:p>
            <w:pPr>
              <w:jc w:val="center"/>
            </w:pPr>
            <w:r>
              <w:rPr>
                <w:rFonts w:ascii="Arial" w:cs="Arial" w:eastAsia="Arial" w:hAnsi="Arial"/>
                <w:b/>
                <w:bCs/>
                <w:color w:val="2E6DA4"/>
                <w:sz w:val="15"/>
                <w:szCs w:val="15"/>
              </w:rPr>
              <w:t xml:space="preserve">✔ Platform</w:t>
            </w:r>
          </w:p>
        </w:tc>
        <w:tc>
          <w:tcPr>
            <w:tcW w:type="dxa" w:w="1247"/>
            <w:tcBorders>
              <w:top w:val="single" w:color="C8D6E5" w:sz="1"/>
              <w:left w:val="single" w:color="C8D6E5" w:sz="1"/>
              <w:bottom w:val="single" w:color="C8D6E5" w:sz="1"/>
              <w:right w:val="single" w:color="C8D6E5" w:sz="1"/>
            </w:tcBorders>
            <w:shd w:fill="D6E4F0" w:val="clear"/>
            <w:tcMar>
              <w:top w:type="dxa" w:w="80"/>
              <w:left w:type="dxa" w:w="60"/>
              <w:bottom w:type="dxa" w:w="80"/>
              <w:right w:type="dxa" w:w="60"/>
            </w:tcMar>
            <w:vAlign w:val="center"/>
          </w:tcPr>
          <w:p>
            <w:pPr>
              <w:jc w:val="center"/>
            </w:pPr>
            <w:r>
              <w:rPr>
                <w:rFonts w:ascii="Arial" w:cs="Arial" w:eastAsia="Arial" w:hAnsi="Arial"/>
                <w:b/>
                <w:bCs/>
                <w:color w:val="2E6DA4"/>
                <w:sz w:val="15"/>
                <w:szCs w:val="15"/>
              </w:rPr>
              <w:t xml:space="preserve">✔ Platform</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Amadeus provides booking data. Your platform generates invoices for agencies and customers.</w:t>
            </w:r>
          </w:p>
        </w:tc>
      </w:tr>
    </w:tbl>
    <w:p>
      <w:pPr>
        <w:spacing w:before="0" w:after="0"/>
      </w:pPr>
      <w:r>
        <w:rPr>
          <w:sz w:val="24"/>
          <w:szCs w:val="24"/>
        </w:rPr>
        <w:t xml:space="preserve"/>
      </w:r>
    </w:p>
    <w:p>
      <w:pPr>
        <w:pStyle w:val="Heading1"/>
        <w:pBdr>
          <w:bottom w:val="single" w:color="2E6DA4" w:sz="4" w:space="6"/>
        </w:pBdr>
        <w:spacing w:before="400" w:after="160"/>
      </w:pPr>
      <w:r>
        <w:rPr>
          <w:rFonts w:ascii="Arial" w:cs="Arial" w:eastAsia="Arial" w:hAnsi="Arial"/>
          <w:b/>
          <w:bCs/>
          <w:color w:val="1A3C6B"/>
          <w:sz w:val="28"/>
          <w:szCs w:val="28"/>
        </w:rPr>
        <w:t xml:space="preserve">13. Master Feature Compatibility Summary — All Features</w:t>
      </w:r>
    </w:p>
    <w:p>
      <w:pPr>
        <w:spacing w:before="60" w:after="60"/>
      </w:pPr>
      <w:r>
        <w:rPr>
          <w:rFonts w:ascii="Arial" w:cs="Arial" w:eastAsia="Arial" w:hAnsi="Arial"/>
          <w:color w:val="1A1A1A"/>
          <w:sz w:val="20"/>
          <w:szCs w:val="20"/>
        </w:rPr>
        <w:t xml:space="preserve">Complete side-by-side view of every feature across both tiers. SS = Self-Service  |  ENT = Enterprise.</w:t>
      </w:r>
    </w:p>
    <w:p>
      <w:pPr>
        <w:spacing w:before="0" w:after="0"/>
      </w:pPr>
      <w:r>
        <w:rPr>
          <w:sz w:val="12"/>
          <w:szCs w:val="12"/>
        </w:rPr>
        <w:t xml:space="preserve"/>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268"/>
        <w:gridCol w:w="2155"/>
        <w:gridCol w:w="1247"/>
        <w:gridCol w:w="1247"/>
        <w:gridCol w:w="2835"/>
      </w:tblGrid>
      <w:tr>
        <w:trPr>
          <w:tblHeader/>
        </w:trPr>
        <w:tc>
          <w:tcPr>
            <w:tcW w:type="dxa" w:w="2268"/>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Feature / Capability</w:t>
            </w:r>
          </w:p>
        </w:tc>
        <w:tc>
          <w:tcPr>
            <w:tcW w:type="dxa" w:w="215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Amadeus API / Product</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Self-Service</w:t>
            </w:r>
          </w:p>
        </w:tc>
        <w:tc>
          <w:tcPr>
            <w:tcW w:type="dxa" w:w="1247"/>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Enterprise</w:t>
            </w:r>
          </w:p>
        </w:tc>
        <w:tc>
          <w:tcPr>
            <w:tcW w:type="dxa" w:w="2835"/>
            <w:tcBorders>
              <w:top w:val="single" w:color="C8D6E5" w:sz="1"/>
              <w:left w:val="single" w:color="C8D6E5" w:sz="1"/>
              <w:bottom w:val="single" w:color="C8D6E5" w:sz="1"/>
              <w:right w:val="single" w:color="C8D6E5" w:sz="1"/>
            </w:tcBorders>
            <w:shd w:fill="1A3C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Notes &amp; Details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One-Way / Return / Multi-City</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Flight Offers Search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All search types. Enterprise adds NDC + LCC airlines.</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All Search Filters</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Flight Offers Search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Time, airline, stops, class, price — both tiers.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Flexible Dates Calendar</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Cheapest Date Search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Lowest fare per date in range. Both tiers.</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Airfare Trend</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Flight Price Analysis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Low/Medium/High vs historical. Both tiers.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Branded Fares / Fare Families</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Branded Fares Upsell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SS: GDS fare families. ENT adds NDC dynamic bundles.</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Fare Rules (Detailed)</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Flight Offers Price API</w:t>
            </w:r>
          </w:p>
        </w:tc>
        <w:tc>
          <w:tcPr>
            <w:tcW w:type="dxa" w:w="1247"/>
            <w:tcBorders>
              <w:top w:val="single" w:color="C8D6E5" w:sz="1"/>
              <w:left w:val="single" w:color="C8D6E5" w:sz="1"/>
              <w:bottom w:val="single" w:color="C8D6E5" w:sz="1"/>
              <w:right w:val="single" w:color="C8D6E5" w:sz="1"/>
            </w:tcBorders>
            <w:shd w:fill="FDE8D4" w:val="clear"/>
            <w:tcMar>
              <w:top w:type="dxa" w:w="80"/>
              <w:left w:type="dxa" w:w="60"/>
              <w:bottom w:type="dxa" w:w="80"/>
              <w:right w:type="dxa" w:w="60"/>
            </w:tcMar>
            <w:vAlign w:val="center"/>
          </w:tcPr>
          <w:p>
            <w:pPr>
              <w:jc w:val="center"/>
            </w:pPr>
            <w:r>
              <w:rPr>
                <w:rFonts w:ascii="Arial" w:cs="Arial" w:eastAsia="Arial" w:hAnsi="Arial"/>
                <w:b/>
                <w:bCs/>
                <w:color w:val="C0580A"/>
                <w:sz w:val="15"/>
                <w:szCs w:val="15"/>
              </w:rPr>
              <w:t xml:space="preserve">⚠ Partial</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Full</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SS: Raw text format. | ENT: Structured, machine-readable ATPCO rules.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CO2 Emissions</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Flight Offers Price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Both tiers. Per-passenger, per-segment.</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Seat Selection (Seat Map)</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SeatMap Display + Pricing APIs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Both tiers. ENT adds NDC seat maps.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Extra Checked Baggage (pre-booking)</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Flight Offers Price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Both tiers. ENT adds post-booking EMD addition.</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Cabin Bag Add-On</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N/A</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Not available via Amadeus API in any tier.</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Meal Choices (SSR)</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GDS SSR Elements</w:t>
            </w:r>
          </w:p>
        </w:tc>
        <w:tc>
          <w:tcPr>
            <w:tcW w:type="dxa" w:w="1247"/>
            <w:tcBorders>
              <w:top w:val="single" w:color="C8D6E5" w:sz="1"/>
              <w:left w:val="single" w:color="C8D6E5" w:sz="1"/>
              <w:bottom w:val="single" w:color="C8D6E5" w:sz="1"/>
              <w:right w:val="single" w:color="C8D6E5" w:sz="1"/>
            </w:tcBorders>
            <w:shd w:fill="FDE8D4" w:val="clear"/>
            <w:tcMar>
              <w:top w:type="dxa" w:w="80"/>
              <w:left w:type="dxa" w:w="60"/>
              <w:bottom w:type="dxa" w:w="80"/>
              <w:right w:type="dxa" w:w="60"/>
            </w:tcMar>
            <w:vAlign w:val="center"/>
          </w:tcPr>
          <w:p>
            <w:pPr>
              <w:jc w:val="center"/>
            </w:pPr>
            <w:r>
              <w:rPr>
                <w:rFonts w:ascii="Arial" w:cs="Arial" w:eastAsia="Arial" w:hAnsi="Arial"/>
                <w:b/>
                <w:bCs/>
                <w:color w:val="C0580A"/>
                <w:sz w:val="15"/>
                <w:szCs w:val="15"/>
              </w:rPr>
              <w:t xml:space="preserve">⚠ Partial</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Full</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SS: Limited airline support. | ENT: Full SSR catalogue. Airline response varies.</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Priority Boarding</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NDC Ancillary Catalog</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Enterprise NDC only. Airline-dependent.</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WiFi / Lounge Access</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NDC Ancillary Catalog</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Enterprise NDC airlines only (e.g., Finnair, Iberia).</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Individual A-La-Carte Ancillaries</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EMD (GDS)</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Full a-la-carte EMD issuance. Enterprise/consolidator.</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Bundled Fare Ancillaries</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Branded Fares Upsell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Bundles supported. ENT adds NDC dynamic bundles.</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Full Booking Flow (Search→Book)</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3-API Chain</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Both tiers. Identical chain.</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Negotiated / Commission Fares</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Enterprise Fare Engine</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Self-Service has no negotiated fares or commission.</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NDC Airline Content</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Enterprise NDC Connect</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35+ airlines. Not available Self-Service.</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LCC Coverage</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Enterprise Tier</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IndiGo, SpiceJet, AirAsia etc. Enterprise only.</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PNR Creation &amp; Retrieval</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Flight Create / Order Mgmt APIs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Both tiers. Same API.</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Booking Hold (TTL / OPC / OPW)</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ATL System</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Both tiers. Custom hold period possible.</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Auto-Release of Held Tickets</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OPC Element</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Automatic. Both tiers.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Group Bookings (10+ PAX)</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Enterprise Group Booking</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Not available Self-Service.</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Date Change Before Ticketing</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Re-search + Rebook</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Both tiers.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Date Change After Ticketing</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Amadeus Ticket Changer (ATC)</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Self-Service: offline via consolidator only.</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Cancel Before Ticketing</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Flight Order Mgmt API (DELETE)</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Both tiers. Instant API call.</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Cancel After Ticketing</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Enterprise GDS / Consolidator</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Self-Service: offline consolidator. Enterprise: full GDS lifecycle.</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Refund Calculation (Auto)</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ATC Refund</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Self-Service: manual via consolidator. Enterprise: ATC auto per ATPCO.</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Refund Status Pipeline (Customer)</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Platform-built</w:t>
            </w:r>
          </w:p>
        </w:tc>
        <w:tc>
          <w:tcPr>
            <w:tcW w:type="dxa" w:w="1247"/>
            <w:tcBorders>
              <w:top w:val="single" w:color="C8D6E5" w:sz="1"/>
              <w:left w:val="single" w:color="C8D6E5" w:sz="1"/>
              <w:bottom w:val="single" w:color="C8D6E5" w:sz="1"/>
              <w:right w:val="single" w:color="C8D6E5" w:sz="1"/>
            </w:tcBorders>
            <w:shd w:fill="D6E4F0" w:val="clear"/>
            <w:tcMar>
              <w:top w:type="dxa" w:w="80"/>
              <w:left w:type="dxa" w:w="60"/>
              <w:bottom w:type="dxa" w:w="80"/>
              <w:right w:type="dxa" w:w="60"/>
            </w:tcMar>
            <w:vAlign w:val="center"/>
          </w:tcPr>
          <w:p>
            <w:pPr>
              <w:jc w:val="center"/>
            </w:pPr>
            <w:r>
              <w:rPr>
                <w:rFonts w:ascii="Arial" w:cs="Arial" w:eastAsia="Arial" w:hAnsi="Arial"/>
                <w:b/>
                <w:bCs/>
                <w:color w:val="2E6DA4"/>
                <w:sz w:val="15"/>
                <w:szCs w:val="15"/>
              </w:rPr>
              <w:t xml:space="preserve">✔ Platform</w:t>
            </w:r>
          </w:p>
        </w:tc>
        <w:tc>
          <w:tcPr>
            <w:tcW w:type="dxa" w:w="1247"/>
            <w:tcBorders>
              <w:top w:val="single" w:color="C8D6E5" w:sz="1"/>
              <w:left w:val="single" w:color="C8D6E5" w:sz="1"/>
              <w:bottom w:val="single" w:color="C8D6E5" w:sz="1"/>
              <w:right w:val="single" w:color="C8D6E5" w:sz="1"/>
            </w:tcBorders>
            <w:shd w:fill="D6E4F0" w:val="clear"/>
            <w:tcMar>
              <w:top w:type="dxa" w:w="80"/>
              <w:left w:type="dxa" w:w="60"/>
              <w:bottom w:type="dxa" w:w="80"/>
              <w:right w:type="dxa" w:w="60"/>
            </w:tcMar>
            <w:vAlign w:val="center"/>
          </w:tcPr>
          <w:p>
            <w:pPr>
              <w:jc w:val="center"/>
            </w:pPr>
            <w:r>
              <w:rPr>
                <w:rFonts w:ascii="Arial" w:cs="Arial" w:eastAsia="Arial" w:hAnsi="Arial"/>
                <w:b/>
                <w:bCs/>
                <w:color w:val="2E6DA4"/>
                <w:sz w:val="15"/>
                <w:szCs w:val="15"/>
              </w:rPr>
              <w:t xml:space="preserve">✔ Platform</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Both tiers: platform must build status tracker.</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Live Flight Status Tracking</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On-Demand Flight Status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Delays, cancellations, gate changes. Both tiers.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Schedule Change Alerts</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Enterprise Queue Mgmt</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Automatic queue to agency. Self-Service: no automated alerts.</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Hotel Booking</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Hotel List + Search + Orders APIs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150,000+ properties. Both tiers.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Travel Insurance</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Travel Insurance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Both tiers.</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Tours &amp; Activities</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Tours &amp; Activities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300,000+ activities. Both tiers.</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Ground Transfers</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Transfers API</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Both tiers.</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Car Rental</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Cars API</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Enterprise only.</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Markup Engine / Service Fees</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Platform-built</w:t>
            </w:r>
          </w:p>
        </w:tc>
        <w:tc>
          <w:tcPr>
            <w:tcW w:type="dxa" w:w="1247"/>
            <w:tcBorders>
              <w:top w:val="single" w:color="C8D6E5" w:sz="1"/>
              <w:left w:val="single" w:color="C8D6E5" w:sz="1"/>
              <w:bottom w:val="single" w:color="C8D6E5" w:sz="1"/>
              <w:right w:val="single" w:color="C8D6E5" w:sz="1"/>
            </w:tcBorders>
            <w:shd w:fill="D6E4F0" w:val="clear"/>
            <w:tcMar>
              <w:top w:type="dxa" w:w="80"/>
              <w:left w:type="dxa" w:w="60"/>
              <w:bottom w:type="dxa" w:w="80"/>
              <w:right w:type="dxa" w:w="60"/>
            </w:tcMar>
            <w:vAlign w:val="center"/>
          </w:tcPr>
          <w:p>
            <w:pPr>
              <w:jc w:val="center"/>
            </w:pPr>
            <w:r>
              <w:rPr>
                <w:rFonts w:ascii="Arial" w:cs="Arial" w:eastAsia="Arial" w:hAnsi="Arial"/>
                <w:b/>
                <w:bCs/>
                <w:color w:val="2E6DA4"/>
                <w:sz w:val="15"/>
                <w:szCs w:val="15"/>
              </w:rPr>
              <w:t xml:space="preserve">✔ Platform</w:t>
            </w:r>
          </w:p>
        </w:tc>
        <w:tc>
          <w:tcPr>
            <w:tcW w:type="dxa" w:w="1247"/>
            <w:tcBorders>
              <w:top w:val="single" w:color="C8D6E5" w:sz="1"/>
              <w:left w:val="single" w:color="C8D6E5" w:sz="1"/>
              <w:bottom w:val="single" w:color="C8D6E5" w:sz="1"/>
              <w:right w:val="single" w:color="C8D6E5" w:sz="1"/>
            </w:tcBorders>
            <w:shd w:fill="D6E4F0" w:val="clear"/>
            <w:tcMar>
              <w:top w:type="dxa" w:w="80"/>
              <w:left w:type="dxa" w:w="60"/>
              <w:bottom w:type="dxa" w:w="80"/>
              <w:right w:type="dxa" w:w="60"/>
            </w:tcMar>
            <w:vAlign w:val="center"/>
          </w:tcPr>
          <w:p>
            <w:pPr>
              <w:jc w:val="center"/>
            </w:pPr>
            <w:r>
              <w:rPr>
                <w:rFonts w:ascii="Arial" w:cs="Arial" w:eastAsia="Arial" w:hAnsi="Arial"/>
                <w:b/>
                <w:bCs/>
                <w:color w:val="2E6DA4"/>
                <w:sz w:val="15"/>
                <w:szCs w:val="15"/>
              </w:rPr>
              <w:t xml:space="preserve">✔ Platform</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Not Amadeus. Both tiers.</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Agent Queue &amp; Role Management</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Enterprise Queue System</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Self-Service: no native queue. Enterprise: full queue management.</w:t>
            </w:r>
          </w:p>
        </w:tc>
      </w:tr>
      <w:tr>
        <w:tc>
          <w:tcPr>
            <w:tcW w:type="dxa" w:w="2268"/>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BSP / ARC Direct Settlement</w:t>
            </w:r>
          </w:p>
        </w:tc>
        <w:tc>
          <w:tcPr>
            <w:tcW w:type="dxa" w:w="215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2E6DA4"/>
                <w:sz w:val="16"/>
                <w:szCs w:val="16"/>
              </w:rPr>
              <w:t xml:space="preserve">BSPlink / ARC</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D6F0E2" w:val="clear"/>
            <w:tcMar>
              <w:top w:type="dxa" w:w="80"/>
              <w:left w:type="dxa" w:w="60"/>
              <w:bottom w:type="dxa" w:w="80"/>
              <w:right w:type="dxa" w:w="60"/>
            </w:tcMar>
            <w:vAlign w:val="center"/>
          </w:tcPr>
          <w:p>
            <w:pPr>
              <w:jc w:val="center"/>
            </w:pPr>
            <w:r>
              <w:rPr>
                <w:rFonts w:ascii="Arial" w:cs="Arial" w:eastAsia="Arial" w:hAnsi="Arial"/>
                <w:b/>
                <w:bCs/>
                <w:color w:val="1E7E4E"/>
                <w:sz w:val="15"/>
                <w:szCs w:val="15"/>
              </w:rPr>
              <w:t xml:space="preserve">✔ Yes</w:t>
            </w:r>
          </w:p>
        </w:tc>
        <w:tc>
          <w:tcPr>
            <w:tcW w:type="dxa" w:w="2835"/>
            <w:tcBorders>
              <w:top w:val="single" w:color="C8D6E5" w:sz="1"/>
              <w:left w:val="single" w:color="C8D6E5" w:sz="1"/>
              <w:bottom w:val="single" w:color="C8D6E5" w:sz="1"/>
              <w:right w:val="single" w:color="C8D6E5" w:sz="1"/>
            </w:tcBorders>
            <w:shd w:fill="FFFFFF" w:val="clear"/>
            <w:tcMar>
              <w:top w:type="dxa" w:w="80"/>
              <w:left w:type="dxa" w:w="110"/>
              <w:bottom w:type="dxa" w:w="80"/>
              <w:right w:type="dxa" w:w="110"/>
            </w:tcMar>
          </w:tcPr>
          <w:p>
            <w:r>
              <w:rPr>
                <w:rFonts w:ascii="Arial" w:cs="Arial" w:eastAsia="Arial" w:hAnsi="Arial"/>
                <w:color w:val="444444"/>
                <w:sz w:val="16"/>
                <w:szCs w:val="16"/>
              </w:rPr>
              <w:t xml:space="preserve">Self-Service settles via consolidator. Enterprise settles directly.</w:t>
            </w:r>
          </w:p>
        </w:tc>
      </w:tr>
      <w:tr>
        <w:tc>
          <w:tcPr>
            <w:tcW w:type="dxa" w:w="2268"/>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b/>
                <w:bCs/>
                <w:color w:val="1A1A1A"/>
                <w:sz w:val="18"/>
                <w:szCs w:val="18"/>
              </w:rPr>
              <w:t xml:space="preserve">Award / Miles Booking</w:t>
            </w:r>
          </w:p>
        </w:tc>
        <w:tc>
          <w:tcPr>
            <w:tcW w:type="dxa" w:w="215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2E6DA4"/>
                <w:sz w:val="16"/>
                <w:szCs w:val="16"/>
              </w:rPr>
              <w:t xml:space="preserve">N/A</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1247"/>
            <w:tcBorders>
              <w:top w:val="single" w:color="C8D6E5" w:sz="1"/>
              <w:left w:val="single" w:color="C8D6E5" w:sz="1"/>
              <w:bottom w:val="single" w:color="C8D6E5" w:sz="1"/>
              <w:right w:val="single" w:color="C8D6E5" w:sz="1"/>
            </w:tcBorders>
            <w:shd w:fill="FAD7D7" w:val="clear"/>
            <w:tcMar>
              <w:top w:type="dxa" w:w="80"/>
              <w:left w:type="dxa" w:w="60"/>
              <w:bottom w:type="dxa" w:w="80"/>
              <w:right w:type="dxa" w:w="60"/>
            </w:tcMar>
            <w:vAlign w:val="center"/>
          </w:tcPr>
          <w:p>
            <w:pPr>
              <w:jc w:val="center"/>
            </w:pPr>
            <w:r>
              <w:rPr>
                <w:rFonts w:ascii="Arial" w:cs="Arial" w:eastAsia="Arial" w:hAnsi="Arial"/>
                <w:b/>
                <w:bCs/>
                <w:color w:val="A52020"/>
                <w:sz w:val="15"/>
                <w:szCs w:val="15"/>
              </w:rPr>
              <w:t xml:space="preserve">✖ No</w:t>
            </w:r>
          </w:p>
        </w:tc>
        <w:tc>
          <w:tcPr>
            <w:tcW w:type="dxa" w:w="2835"/>
            <w:tcBorders>
              <w:top w:val="single" w:color="C8D6E5" w:sz="1"/>
              <w:left w:val="single" w:color="C8D6E5" w:sz="1"/>
              <w:bottom w:val="single" w:color="C8D6E5" w:sz="1"/>
              <w:right w:val="single" w:color="C8D6E5" w:sz="1"/>
            </w:tcBorders>
            <w:shd w:fill="F4F6F9" w:val="clear"/>
            <w:tcMar>
              <w:top w:type="dxa" w:w="80"/>
              <w:left w:type="dxa" w:w="110"/>
              <w:bottom w:type="dxa" w:w="80"/>
              <w:right w:type="dxa" w:w="110"/>
            </w:tcMar>
          </w:tcPr>
          <w:p>
            <w:r>
              <w:rPr>
                <w:rFonts w:ascii="Arial" w:cs="Arial" w:eastAsia="Arial" w:hAnsi="Arial"/>
                <w:color w:val="444444"/>
                <w:sz w:val="16"/>
                <w:szCs w:val="16"/>
              </w:rPr>
              <w:t xml:space="preserve">Not supported by Amadeus API in any tier.</w:t>
            </w:r>
          </w:p>
        </w:tc>
      </w:tr>
    </w:tbl>
    <w:p>
      <w:pPr>
        <w:spacing w:before="0" w:after="0"/>
      </w:pPr>
      <w:r>
        <w:rPr>
          <w:sz w:val="24"/>
          <w:szCs w:val="24"/>
        </w:rPr>
        <w:t xml:space="preserve"/>
      </w:r>
    </w:p>
    <w:p>
      <w:pPr>
        <w:pStyle w:val="Heading1"/>
        <w:pBdr>
          <w:bottom w:val="single" w:color="2E6DA4" w:sz="4" w:space="6"/>
        </w:pBdr>
        <w:spacing w:before="400" w:after="160"/>
      </w:pPr>
      <w:r>
        <w:rPr>
          <w:rFonts w:ascii="Arial" w:cs="Arial" w:eastAsia="Arial" w:hAnsi="Arial"/>
          <w:b/>
          <w:bCs/>
          <w:color w:val="1A3C6B"/>
          <w:sz w:val="28"/>
          <w:szCs w:val="28"/>
        </w:rPr>
        <w:t xml:space="preserve">14. Recommendations &amp; Phased Implementation Plan</w:t>
      </w:r>
    </w:p>
    <w:p>
      <w:pPr>
        <w:pStyle w:val="Heading2"/>
        <w:spacing w:before="280" w:after="100"/>
      </w:pPr>
      <w:r>
        <w:rPr>
          <w:rFonts w:ascii="Arial" w:cs="Arial" w:eastAsia="Arial" w:hAnsi="Arial"/>
          <w:b/>
          <w:bCs/>
          <w:color w:val="2E6DA4"/>
          <w:sz w:val="24"/>
          <w:szCs w:val="24"/>
        </w:rPr>
        <w:t xml:space="preserve">Phase 1 — Self-Service API (Months 1–6)</w:t>
      </w:r>
    </w:p>
    <w:p>
      <w:pPr>
        <w:pStyle w:val="ListParagraph"/>
        <w:numPr>
          <w:ilvl w:val="0"/>
          <w:numId w:val="2"/>
        </w:numPr>
        <w:spacing w:before="40" w:after="40"/>
      </w:pPr>
      <w:r>
        <w:rPr>
          <w:rFonts w:ascii="Arial" w:cs="Arial" w:eastAsia="Arial" w:hAnsi="Arial"/>
          <w:color w:val="1A1A1A"/>
          <w:sz w:val="20"/>
          <w:szCs w:val="20"/>
        </w:rPr>
        <w:t xml:space="preserve">Register instantly at developers.amadeus.com — free, no commitment</w:t>
      </w:r>
    </w:p>
    <w:p>
      <w:pPr>
        <w:pStyle w:val="ListParagraph"/>
        <w:numPr>
          <w:ilvl w:val="0"/>
          <w:numId w:val="2"/>
        </w:numPr>
        <w:spacing w:before="40" w:after="40"/>
      </w:pPr>
      <w:r>
        <w:rPr>
          <w:rFonts w:ascii="Arial" w:cs="Arial" w:eastAsia="Arial" w:hAnsi="Arial"/>
          <w:color w:val="1A1A1A"/>
          <w:sz w:val="20"/>
          <w:szCs w:val="20"/>
        </w:rPr>
        <w:t xml:space="preserve">Build the core booking chain: Flight Offers Search → Branded Fares Upsell → SeatMap Display → Flight Offers Price → Flight Create Orders</w:t>
      </w:r>
    </w:p>
    <w:p>
      <w:pPr>
        <w:pStyle w:val="ListParagraph"/>
        <w:numPr>
          <w:ilvl w:val="0"/>
          <w:numId w:val="2"/>
        </w:numPr>
        <w:spacing w:before="40" w:after="40"/>
      </w:pPr>
      <w:r>
        <w:rPr>
          <w:rFonts w:ascii="Arial" w:cs="Arial" w:eastAsia="Arial" w:hAnsi="Arial"/>
          <w:color w:val="1A1A1A"/>
          <w:sz w:val="20"/>
          <w:szCs w:val="20"/>
        </w:rPr>
        <w:t xml:space="preserve">Partner with an Amadeus-approved airline consolidator for ticket issuance and post-booking operations</w:t>
      </w:r>
    </w:p>
    <w:p>
      <w:pPr>
        <w:pStyle w:val="ListParagraph"/>
        <w:numPr>
          <w:ilvl w:val="0"/>
          <w:numId w:val="2"/>
        </w:numPr>
        <w:spacing w:before="40" w:after="40"/>
      </w:pPr>
      <w:r>
        <w:rPr>
          <w:rFonts w:ascii="Arial" w:cs="Arial" w:eastAsia="Arial" w:hAnsi="Arial"/>
          <w:color w:val="1A1A1A"/>
          <w:sz w:val="20"/>
          <w:szCs w:val="20"/>
        </w:rPr>
        <w:t xml:space="preserve">Build platform-side: markup engine, multi-level agent roles, B2B portal, customer notification system</w:t>
      </w:r>
    </w:p>
    <w:p>
      <w:pPr>
        <w:pStyle w:val="ListParagraph"/>
        <w:numPr>
          <w:ilvl w:val="0"/>
          <w:numId w:val="2"/>
        </w:numPr>
        <w:spacing w:before="40" w:after="40"/>
      </w:pPr>
      <w:r>
        <w:rPr>
          <w:rFonts w:ascii="Arial" w:cs="Arial" w:eastAsia="Arial" w:hAnsi="Arial"/>
          <w:color w:val="1A1A1A"/>
          <w:sz w:val="20"/>
          <w:szCs w:val="20"/>
        </w:rPr>
        <w:t xml:space="preserve">Integrate On-Demand Flight Status API for full trip tracking</w:t>
      </w:r>
    </w:p>
    <w:p>
      <w:pPr>
        <w:pStyle w:val="ListParagraph"/>
        <w:numPr>
          <w:ilvl w:val="0"/>
          <w:numId w:val="2"/>
        </w:numPr>
        <w:spacing w:before="40" w:after="40"/>
      </w:pPr>
      <w:r>
        <w:rPr>
          <w:rFonts w:ascii="Arial" w:cs="Arial" w:eastAsia="Arial" w:hAnsi="Arial"/>
          <w:color w:val="1A1A1A"/>
          <w:sz w:val="20"/>
          <w:szCs w:val="20"/>
        </w:rPr>
        <w:t xml:space="preserve">Add Hotel, Transfers, Insurance, and Activities APIs for cross-sell revenue</w:t>
      </w:r>
    </w:p>
    <w:p>
      <w:pPr>
        <w:spacing w:before="0" w:after="0"/>
      </w:pPr>
      <w:r>
        <w:rPr>
          <w:sz w:val="12"/>
          <w:szCs w:val="12"/>
        </w:rPr>
        <w:t xml:space="preserve"/>
      </w:r>
    </w:p>
    <w:p>
      <w:pPr>
        <w:pStyle w:val="Heading2"/>
        <w:spacing w:before="280" w:after="100"/>
      </w:pPr>
      <w:r>
        <w:rPr>
          <w:rFonts w:ascii="Arial" w:cs="Arial" w:eastAsia="Arial" w:hAnsi="Arial"/>
          <w:b/>
          <w:bCs/>
          <w:color w:val="2E6DA4"/>
          <w:sz w:val="24"/>
          <w:szCs w:val="24"/>
        </w:rPr>
        <w:t xml:space="preserve">Phase 2 — Enterprise API (Months 6–18)</w:t>
      </w:r>
    </w:p>
    <w:p>
      <w:pPr>
        <w:pStyle w:val="ListParagraph"/>
        <w:numPr>
          <w:ilvl w:val="0"/>
          <w:numId w:val="2"/>
        </w:numPr>
        <w:spacing w:before="40" w:after="40"/>
      </w:pPr>
      <w:r>
        <w:rPr>
          <w:rFonts w:ascii="Arial" w:cs="Arial" w:eastAsia="Arial" w:hAnsi="Arial"/>
          <w:color w:val="1A1A1A"/>
          <w:sz w:val="20"/>
          <w:szCs w:val="20"/>
        </w:rPr>
        <w:t xml:space="preserve">Initiate IATA accreditation process in parallel with Phase 1 (takes 3–6 months)</w:t>
      </w:r>
    </w:p>
    <w:p>
      <w:pPr>
        <w:pStyle w:val="ListParagraph"/>
        <w:numPr>
          <w:ilvl w:val="0"/>
          <w:numId w:val="2"/>
        </w:numPr>
        <w:spacing w:before="40" w:after="40"/>
      </w:pPr>
      <w:r>
        <w:rPr>
          <w:rFonts w:ascii="Arial" w:cs="Arial" w:eastAsia="Arial" w:hAnsi="Arial"/>
          <w:color w:val="1A1A1A"/>
          <w:sz w:val="20"/>
          <w:szCs w:val="20"/>
        </w:rPr>
        <w:t xml:space="preserve">Negotiate Amadeus Enterprise contract — unlock LCCs, NDC, negotiated fares, GDS incentives</w:t>
      </w:r>
    </w:p>
    <w:p>
      <w:pPr>
        <w:pStyle w:val="ListParagraph"/>
        <w:numPr>
          <w:ilvl w:val="0"/>
          <w:numId w:val="2"/>
        </w:numPr>
        <w:spacing w:before="40" w:after="40"/>
      </w:pPr>
      <w:r>
        <w:rPr>
          <w:rFonts w:ascii="Arial" w:cs="Arial" w:eastAsia="Arial" w:hAnsi="Arial"/>
          <w:color w:val="1A1A1A"/>
          <w:sz w:val="20"/>
          <w:szCs w:val="20"/>
        </w:rPr>
        <w:t xml:space="preserve">Implement Amadeus Ticket Changer (ATC) for automated post-ticketing reissue and refund</w:t>
      </w:r>
    </w:p>
    <w:p>
      <w:pPr>
        <w:pStyle w:val="ListParagraph"/>
        <w:numPr>
          <w:ilvl w:val="0"/>
          <w:numId w:val="2"/>
        </w:numPr>
        <w:spacing w:before="40" w:after="40"/>
      </w:pPr>
      <w:r>
        <w:rPr>
          <w:rFonts w:ascii="Arial" w:cs="Arial" w:eastAsia="Arial" w:hAnsi="Arial"/>
          <w:color w:val="1A1A1A"/>
          <w:sz w:val="20"/>
          <w:szCs w:val="20"/>
        </w:rPr>
        <w:t xml:space="preserve">Set up BSP participation for direct airline settlement</w:t>
      </w:r>
    </w:p>
    <w:p>
      <w:pPr>
        <w:pStyle w:val="ListParagraph"/>
        <w:numPr>
          <w:ilvl w:val="0"/>
          <w:numId w:val="2"/>
        </w:numPr>
        <w:spacing w:before="40" w:after="40"/>
      </w:pPr>
      <w:r>
        <w:rPr>
          <w:rFonts w:ascii="Arial" w:cs="Arial" w:eastAsia="Arial" w:hAnsi="Arial"/>
          <w:color w:val="1A1A1A"/>
          <w:sz w:val="20"/>
          <w:szCs w:val="20"/>
        </w:rPr>
        <w:t xml:space="preserve">Enable NDC connections for key airlines relevant to your target market (Indian carriers via NDC)</w:t>
      </w:r>
    </w:p>
    <w:p>
      <w:pPr>
        <w:pStyle w:val="ListParagraph"/>
        <w:numPr>
          <w:ilvl w:val="0"/>
          <w:numId w:val="2"/>
        </w:numPr>
        <w:spacing w:before="40" w:after="40"/>
      </w:pPr>
      <w:r>
        <w:rPr>
          <w:rFonts w:ascii="Arial" w:cs="Arial" w:eastAsia="Arial" w:hAnsi="Arial"/>
          <w:color w:val="1A1A1A"/>
          <w:sz w:val="20"/>
          <w:szCs w:val="20"/>
        </w:rPr>
        <w:t xml:space="preserve">Implement queue management for agent operations at scale</w:t>
      </w:r>
    </w:p>
    <w:p>
      <w:pPr>
        <w:pStyle w:val="ListParagraph"/>
        <w:numPr>
          <w:ilvl w:val="0"/>
          <w:numId w:val="2"/>
        </w:numPr>
        <w:spacing w:before="40" w:after="40"/>
      </w:pPr>
      <w:r>
        <w:rPr>
          <w:rFonts w:ascii="Arial" w:cs="Arial" w:eastAsia="Arial" w:hAnsi="Arial"/>
          <w:color w:val="1A1A1A"/>
          <w:sz w:val="20"/>
          <w:szCs w:val="20"/>
        </w:rPr>
        <w:t xml:space="preserve">Unlock Outpayce (Amadeus payments) for VCC-based supplier payment</w:t>
      </w:r>
    </w:p>
    <w:p>
      <w:pPr>
        <w:spacing w:before="0" w:after="0"/>
      </w:pPr>
      <w:r>
        <w:rPr>
          <w:sz w:val="12"/>
          <w:szCs w:val="12"/>
        </w:rPr>
        <w:t xml:space="preserve"/>
      </w:r>
    </w:p>
    <w:p>
      <w:pPr>
        <w:pStyle w:val="Heading2"/>
        <w:spacing w:before="280" w:after="100"/>
      </w:pPr>
      <w:r>
        <w:rPr>
          <w:rFonts w:ascii="Arial" w:cs="Arial" w:eastAsia="Arial" w:hAnsi="Arial"/>
          <w:b/>
          <w:bCs/>
          <w:color w:val="2E6DA4"/>
          <w:sz w:val="24"/>
          <w:szCs w:val="24"/>
        </w:rPr>
        <w:t xml:space="preserve">Features That Must Be Built by Your Platform (Both Tiers)</w:t>
      </w:r>
    </w:p>
    <w:p>
      <w:pPr>
        <w:pStyle w:val="ListParagraph"/>
        <w:numPr>
          <w:ilvl w:val="0"/>
          <w:numId w:val="2"/>
        </w:numPr>
        <w:spacing w:before="40" w:after="40"/>
      </w:pPr>
      <w:r>
        <w:rPr>
          <w:rFonts w:ascii="Arial" w:cs="Arial" w:eastAsia="Arial" w:hAnsi="Arial"/>
          <w:color w:val="1A1A1A"/>
          <w:sz w:val="20"/>
          <w:szCs w:val="20"/>
        </w:rPr>
        <w:t xml:space="preserve">Customer-facing refund status pipeline (5-stage progress tracker)</w:t>
      </w:r>
    </w:p>
    <w:p>
      <w:pPr>
        <w:pStyle w:val="ListParagraph"/>
        <w:numPr>
          <w:ilvl w:val="0"/>
          <w:numId w:val="2"/>
        </w:numPr>
        <w:spacing w:before="40" w:after="40"/>
      </w:pPr>
      <w:r>
        <w:rPr>
          <w:rFonts w:ascii="Arial" w:cs="Arial" w:eastAsia="Arial" w:hAnsi="Arial"/>
          <w:color w:val="1A1A1A"/>
          <w:sz w:val="20"/>
          <w:szCs w:val="20"/>
        </w:rPr>
        <w:t xml:space="preserve">Email / SMS / Push notification system for flight status alerts and ticketing deadline reminders</w:t>
      </w:r>
    </w:p>
    <w:p>
      <w:pPr>
        <w:pStyle w:val="ListParagraph"/>
        <w:numPr>
          <w:ilvl w:val="0"/>
          <w:numId w:val="2"/>
        </w:numPr>
        <w:spacing w:before="40" w:after="40"/>
      </w:pPr>
      <w:r>
        <w:rPr>
          <w:rFonts w:ascii="Arial" w:cs="Arial" w:eastAsia="Arial" w:hAnsi="Arial"/>
          <w:color w:val="1A1A1A"/>
          <w:sz w:val="20"/>
          <w:szCs w:val="20"/>
        </w:rPr>
        <w:t xml:space="preserve">Multi-level markup engine (agency markup → sub-agent markup → service fee)</w:t>
      </w:r>
    </w:p>
    <w:p>
      <w:pPr>
        <w:pStyle w:val="ListParagraph"/>
        <w:numPr>
          <w:ilvl w:val="0"/>
          <w:numId w:val="2"/>
        </w:numPr>
        <w:spacing w:before="40" w:after="40"/>
      </w:pPr>
      <w:r>
        <w:rPr>
          <w:rFonts w:ascii="Arial" w:cs="Arial" w:eastAsia="Arial" w:hAnsi="Arial"/>
          <w:color w:val="1A1A1A"/>
          <w:sz w:val="20"/>
          <w:szCs w:val="20"/>
        </w:rPr>
        <w:t xml:space="preserve">B2B credit limit management per sub-agent</w:t>
      </w:r>
    </w:p>
    <w:p>
      <w:pPr>
        <w:pStyle w:val="ListParagraph"/>
        <w:numPr>
          <w:ilvl w:val="0"/>
          <w:numId w:val="2"/>
        </w:numPr>
        <w:spacing w:before="40" w:after="40"/>
      </w:pPr>
      <w:r>
        <w:rPr>
          <w:rFonts w:ascii="Arial" w:cs="Arial" w:eastAsia="Arial" w:hAnsi="Arial"/>
          <w:color w:val="1A1A1A"/>
          <w:sz w:val="20"/>
          <w:szCs w:val="20"/>
        </w:rPr>
        <w:t xml:space="preserve">Agent performance dashboard and booking analytics</w:t>
      </w:r>
    </w:p>
    <w:p>
      <w:pPr>
        <w:pStyle w:val="ListParagraph"/>
        <w:numPr>
          <w:ilvl w:val="0"/>
          <w:numId w:val="2"/>
        </w:numPr>
        <w:spacing w:before="40" w:after="40"/>
      </w:pPr>
      <w:r>
        <w:rPr>
          <w:rFonts w:ascii="Arial" w:cs="Arial" w:eastAsia="Arial" w:hAnsi="Arial"/>
          <w:color w:val="1A1A1A"/>
          <w:sz w:val="20"/>
          <w:szCs w:val="20"/>
        </w:rPr>
        <w:t xml:space="preserve">Customer itinerary management view (trip wallet)</w:t>
      </w:r>
    </w:p>
    <w:p>
      <w:pPr>
        <w:pStyle w:val="ListParagraph"/>
        <w:numPr>
          <w:ilvl w:val="0"/>
          <w:numId w:val="2"/>
        </w:numPr>
        <w:spacing w:before="40" w:after="40"/>
      </w:pPr>
      <w:r>
        <w:rPr>
          <w:rFonts w:ascii="Arial" w:cs="Arial" w:eastAsia="Arial" w:hAnsi="Arial"/>
          <w:color w:val="1A1A1A"/>
          <w:sz w:val="20"/>
          <w:szCs w:val="20"/>
        </w:rPr>
        <w:t xml:space="preserve">Invoice and receipt generation</w:t>
      </w:r>
    </w:p>
    <w:p>
      <w:pPr>
        <w:pStyle w:val="ListParagraph"/>
        <w:numPr>
          <w:ilvl w:val="0"/>
          <w:numId w:val="2"/>
        </w:numPr>
        <w:spacing w:before="40" w:after="40"/>
      </w:pPr>
      <w:r>
        <w:rPr>
          <w:rFonts w:ascii="Arial" w:cs="Arial" w:eastAsia="Arial" w:hAnsi="Arial"/>
          <w:color w:val="1A1A1A"/>
          <w:sz w:val="20"/>
          <w:szCs w:val="20"/>
        </w:rPr>
        <w:t xml:space="preserve">Custom hold period enforcement and countdown UI</w:t>
      </w:r>
    </w:p>
    <w:p>
      <w:pPr>
        <w:spacing w:before="0" w:after="0"/>
      </w:pPr>
      <w:r>
        <w:rPr>
          <w:sz w:val="24"/>
          <w:szCs w:val="24"/>
        </w:rPr>
        <w:t xml:space="preserve"/>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9752"/>
      </w:tblGrid>
      <w:tr>
        <w:tc>
          <w:tcPr>
            <w:tcW w:type="dxa" w:w="9752"/>
            <w:tcBorders>
              <w:top w:val="none" w:color="FFFFFF" w:sz="0"/>
              <w:left w:val="none" w:color="FFFFFF" w:sz="0"/>
              <w:bottom w:val="none" w:color="FFFFFF" w:sz="0"/>
              <w:right w:val="none" w:color="FFFFFF" w:sz="0"/>
            </w:tcBorders>
            <w:shd w:fill="F4F6F9" w:val="clear"/>
            <w:tcMar>
              <w:top w:type="dxa" w:w="160"/>
              <w:left w:type="dxa" w:w="200"/>
              <w:bottom w:type="dxa" w:w="160"/>
              <w:right w:type="dxa" w:w="200"/>
            </w:tcMar>
          </w:tcPr>
          <w:p>
            <w:pPr>
              <w:spacing w:before="0" w:after="80"/>
            </w:pPr>
            <w:r>
              <w:rPr>
                <w:rFonts w:ascii="Arial" w:cs="Arial" w:eastAsia="Arial" w:hAnsi="Arial"/>
                <w:b/>
                <w:bCs/>
                <w:color w:val="444444"/>
                <w:sz w:val="22"/>
                <w:szCs w:val="22"/>
              </w:rPr>
              <w:t xml:space="preserve">Disclaimer</w:t>
            </w:r>
          </w:p>
          <w:p>
            <w:pPr>
              <w:spacing w:before="40" w:after="40"/>
            </w:pPr>
            <w:r>
              <w:rPr>
                <w:rFonts w:ascii="Arial" w:cs="Arial" w:eastAsia="Arial" w:hAnsi="Arial"/>
                <w:color w:val="1A1A1A"/>
                <w:sz w:val="19"/>
                <w:szCs w:val="19"/>
              </w:rPr>
              <w:t xml:space="preserve">This document is prepared based on publicly available Amadeus API documentation, developer guides, and industry research as of March 2026. Amadeus API capabilities, pricing, and commercial terms are subject to change without notice. All commercial agreements, Enterprise tier pricing, IATA accreditation requirements, and feature availability must be verified directly with Amadeus or an authorised Amadeus distributor before implementation. This document does not constitute a legal or commercial commitment from Amadeus or any third party. NDC airline coverage and ancillary availability are subject to individual airline participation agreements.</w:t>
            </w:r>
          </w:p>
        </w:tc>
      </w:tr>
    </w:tbl>
    <w:p>
      <w:pPr>
        <w:spacing w:before="0" w:after="0"/>
      </w:pPr>
      <w:r>
        <w:rPr>
          <w:sz w:val="24"/>
          <w:szCs w:val="24"/>
        </w:rPr>
        <w:t xml:space="preserve"/>
      </w:r>
    </w:p>
    <w:sectPr>
      <w:headerReference w:type="default" r:id="rId6"/>
      <w:footerReference w:type="default" r:id="rId7"/>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6"/>
      </w:pBdr>
    </w:pPr>
    <w:r>
      <w:rPr>
        <w:rFonts w:ascii="Arial" w:cs="Arial" w:eastAsia="Arial" w:hAnsi="Arial"/>
        <w:color w:val="444444"/>
        <w:sz w:val="16"/>
        <w:szCs w:val="16"/>
      </w:rPr>
      <w:t xml:space="preserve">Prepared by: Project Research Associate   |   March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6"/>
      </w:pBdr>
    </w:pPr>
    <w:r>
      <w:rPr>
        <w:rFonts w:ascii="Arial" w:cs="Arial" w:eastAsia="Arial" w:hAnsi="Arial"/>
        <w:b/>
        <w:bCs/>
        <w:color w:val="2E6DA4"/>
        <w:sz w:val="16"/>
        <w:szCs w:val="16"/>
      </w:rPr>
      <w:t xml:space="preserve">AMADEUS API — FEATURE COMPATIBILITY RESEARCH DOCUMENT</w:t>
    </w:r>
    <w:r>
      <w:rPr>
        <w:rFonts w:ascii="Arial" w:cs="Arial" w:eastAsia="Arial" w:hAnsi="Arial"/>
        <w:color w:val="444444"/>
        <w:sz w:val="16"/>
        <w:szCs w:val="16"/>
      </w:rPr>
      <w:t xml:space="preserve">   |   Travel Agency Platform   |   Self-Service vs Enterprise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28"/>
      <w:szCs w:val="28"/>
    </w:rPr>
  </w:style>
  <w:style w:type="paragraph" w:styleId="Heading2">
    <w:name w:val="Heading 2"/>
    <w:basedOn w:val="Normal"/>
    <w:next w:val="Normal"/>
    <w:qFormat/>
    <w:pPr>
      <w:spacing w:before="280" w:after="100"/>
      <w:outlineLvl w:val="1"/>
    </w:pPr>
    <w:rPr>
      <w:rFonts w:ascii="Arial" w:cs="Arial" w:eastAsia="Arial" w:hAnsi="Arial"/>
      <w:b/>
      <w:bCs/>
      <w:sz w:val="24"/>
      <w:szCs w:val="24"/>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2026-03-31T08:25:49.961Z</dcterms:created>
  <dcterms:modified xsi:type="dcterms:W3CDTF">2026-03-31T08:25:49.962Z</dcterms:modified>
</cp:coreProperties>
</file>

<file path=docProps/custom.xml><?xml version="1.0" encoding="utf-8"?>
<Properties xmlns="http://schemas.openxmlformats.org/officeDocument/2006/custom-properties" xmlns:vt="http://schemas.openxmlformats.org/officeDocument/2006/docPropsVTypes"/>
</file>