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p>
    <w:p>
      <w:pPr>
        <w:spacing w:before="0" w:after="80"/>
        <w:jc w:val="center"/>
      </w:pPr>
      <w:r>
        <w:rPr>
          <w:rFonts w:ascii="Arial" w:cs="Arial" w:eastAsia="Arial" w:hAnsi="Arial"/>
          <w:b/>
          <w:bCs/>
          <w:color w:val="1B4F8A"/>
          <w:sz w:val="60"/>
          <w:szCs w:val="60"/>
        </w:rPr>
        <w:t xml:space="preserve">TRAVENTIONS</w:t>
      </w:r>
    </w:p>
    <w:p>
      <w:pPr>
        <w:spacing w:before="0" w:after="80"/>
        <w:jc w:val="center"/>
      </w:pPr>
      <w:r>
        <w:rPr>
          <w:rFonts w:ascii="Arial" w:cs="Arial" w:eastAsia="Arial" w:hAnsi="Arial"/>
          <w:b/>
          <w:bCs/>
          <w:color w:val="2E75B6"/>
          <w:sz w:val="36"/>
          <w:szCs w:val="36"/>
        </w:rPr>
        <w:t xml:space="preserve">BRD — Gaps, Bugs &amp; Recommendations</w:t>
      </w:r>
    </w:p>
    <w:p>
      <w:pPr>
        <w:spacing w:before="0" w:after="400"/>
        <w:jc w:val="center"/>
      </w:pPr>
      <w:r>
        <w:rPr>
          <w:rFonts w:ascii="Arial" w:cs="Arial" w:eastAsia="Arial" w:hAnsi="Arial"/>
          <w:i/>
          <w:iCs/>
          <w:color w:val="595959"/>
          <w:sz w:val="22"/>
          <w:szCs w:val="22"/>
        </w:rPr>
        <w:t xml:space="preserve">A complete analysis of missing requirements, unresolved edge cases, and proposed solutions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4F8A"/>
                <w:sz w:val="18"/>
                <w:szCs w:val="18"/>
              </w:rPr>
              <w:t xml:space="preserve">Document Version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4F8A"/>
                <w:sz w:val="18"/>
                <w:szCs w:val="18"/>
              </w:rPr>
              <w:t xml:space="preserve">Based on BRD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Traventions Simplified BRD v1.0</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4F8A"/>
                <w:sz w:val="18"/>
                <w:szCs w:val="18"/>
              </w:rPr>
              <w:t xml:space="preserve">Total Gaps Found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5900"/>
                <w:sz w:val="20"/>
                <w:szCs w:val="20"/>
              </w:rPr>
              <w:t xml:space="preserve">14 Gaps Identified</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4F8A"/>
                <w:sz w:val="18"/>
                <w:szCs w:val="18"/>
              </w:rPr>
              <w:t xml:space="preserve">Prepared By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 &amp; Product Team</w:t>
            </w:r>
          </w:p>
        </w:tc>
      </w:tr>
    </w:tbl>
    <w:p>
      <w:pPr>
        <w:spacing w:before="400" w:after="0"/>
      </w:pPr>
    </w:p>
    <w:p>
      <w:r>
        <w:br w:type="page"/>
      </w:r>
    </w:p>
    <w:p>
      <w:pPr>
        <w:pStyle w:val="Heading1"/>
        <w:pBdr>
          <w:bottom w:val="single" w:color="2E75B6" w:sz="6" w:space="1"/>
        </w:pBdr>
        <w:spacing w:before="360" w:after="120"/>
      </w:pPr>
      <w:r>
        <w:rPr>
          <w:rFonts w:ascii="Arial" w:cs="Arial" w:eastAsia="Arial" w:hAnsi="Arial"/>
          <w:b/>
          <w:bCs/>
          <w:color w:val="1B4F8A"/>
          <w:sz w:val="36"/>
          <w:szCs w:val="36"/>
        </w:rPr>
        <w:t xml:space="preserve">Executive Summary</w:t>
      </w:r>
    </w:p>
    <w:p>
      <w:pPr>
        <w:spacing w:before="60" w:after="100"/>
      </w:pPr>
      <w:r>
        <w:rPr>
          <w:rFonts w:ascii="Arial" w:cs="Arial" w:eastAsia="Arial" w:hAnsi="Arial"/>
          <w:color w:val="1A1A1A"/>
          <w:sz w:val="20"/>
          <w:szCs w:val="20"/>
        </w:rPr>
        <w:t xml:space="preserve">This document is a structured analysis of gaps, ambiguities, and missing requirements identified in the Traventions Simplified BRD v1.0. It covers product gaps raised by the internal team alongside additional gaps discovered through systematic BRD review. Each gap is categorised by severity, assigned to a module, and accompanied by a concrete proposed solution and implementation steps.</w:t>
      </w:r>
    </w:p>
    <w:p>
      <w:pPr>
        <w:spacing w:before="60" w:after="100"/>
      </w:pPr>
      <w:r>
        <w:rPr>
          <w:rFonts w:ascii="Arial" w:cs="Arial" w:eastAsia="Arial" w:hAnsi="Arial"/>
          <w:color w:val="1A1A1A"/>
          <w:sz w:val="20"/>
          <w:szCs w:val="20"/>
        </w:rPr>
        <w:t xml:space="preserve">The BRD describes a robust B2B travel platform but several key areas remain underspecified or entirely absent. Leaving these unresolved would result in operational failures, security vulnerabilities, fraud risks, or poor user experience during production rollout. This document is intended to be used by the product, engineering, and operations teams as a supplementary requirements artefact.</w:t>
      </w:r>
    </w:p>
    <w:p>
      <w:pPr>
        <w:spacing w:before="120" w:after="0"/>
      </w:pPr>
    </w:p>
    <w:p>
      <w:pPr>
        <w:pStyle w:val="Heading2"/>
        <w:spacing w:before="280" w:after="100"/>
      </w:pPr>
      <w:r>
        <w:rPr>
          <w:rFonts w:ascii="Arial" w:cs="Arial" w:eastAsia="Arial" w:hAnsi="Arial"/>
          <w:b/>
          <w:bCs/>
          <w:color w:val="1B4F8A"/>
          <w:sz w:val="28"/>
          <w:szCs w:val="28"/>
        </w:rPr>
        <w:t xml:space="preserve">Severity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c>
          <w:tcPr>
            <w:tcW w:type="dxa" w:w="1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58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1</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5900"/>
                <w:sz w:val="20"/>
                <w:szCs w:val="20"/>
              </w:rPr>
              <w:t xml:space="preserve">Critical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 cannot function correctly without this. Likely to cause financial loss, fraud, or security breach.</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2</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High</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Significant user-facing gap that will cause operational issues or poor experience at scale.</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3</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7F6000"/>
                <w:sz w:val="20"/>
                <w:szCs w:val="20"/>
              </w:rPr>
              <w:t xml:space="preserve">Medium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Missing feature that is needed but the platform can survive without it in early phases.</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4</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D6837"/>
                <w:sz w:val="20"/>
                <w:szCs w:val="20"/>
              </w:rPr>
              <w:t xml:space="preserve">Low</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Enhancement or edge-case that improves robustness; can be deferred to Phase 2–3.</w:t>
            </w:r>
          </w:p>
        </w:tc>
      </w:tr>
    </w:tbl>
    <w:p>
      <w:pPr>
        <w:spacing w:before="200" w:after="0"/>
      </w:pPr>
    </w:p>
    <w:p>
      <w:r>
        <w:br w:type="page"/>
      </w:r>
    </w:p>
    <w:p>
      <w:pPr>
        <w:pStyle w:val="Heading1"/>
        <w:pBdr>
          <w:bottom w:val="single" w:color="2E75B6" w:sz="6" w:space="1"/>
        </w:pBdr>
        <w:spacing w:before="360" w:after="120"/>
      </w:pPr>
      <w:r>
        <w:rPr>
          <w:rFonts w:ascii="Arial" w:cs="Arial" w:eastAsia="Arial" w:hAnsi="Arial"/>
          <w:b/>
          <w:bCs/>
          <w:color w:val="1B4F8A"/>
          <w:sz w:val="36"/>
          <w:szCs w:val="36"/>
        </w:rPr>
        <w:t xml:space="preserve">Gaps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560"/>
        <w:gridCol w:w="1600"/>
        <w:gridCol w:w="2300"/>
      </w:tblGrid>
      <w:tr>
        <w:tc>
          <w:tcPr>
            <w:tcW w:type="dxa" w:w="9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4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Gap Title</w:t>
            </w:r>
          </w:p>
        </w:tc>
        <w:tc>
          <w:tcPr>
            <w:tcW w:type="dxa" w:w="1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23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Module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4F8A"/>
                <w:sz w:val="18"/>
                <w:szCs w:val="18"/>
              </w:rPr>
              <w:t xml:space="preserve">GAP-01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KYC Document Verification — No Authenticity Mechanism</w:t>
            </w:r>
          </w:p>
        </w:tc>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05900"/>
                <w:sz w:val="18"/>
                <w:szCs w:val="18"/>
              </w:rPr>
              <w:t xml:space="preserve">Critical</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Onboarding / KYC</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4F8A"/>
                <w:sz w:val="18"/>
                <w:szCs w:val="18"/>
              </w:rPr>
              <w:t xml:space="preserve">GAP-02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Trip Bundle Functionality</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2E75B6"/>
                <w:sz w:val="18"/>
                <w:szCs w:val="18"/>
              </w:rPr>
              <w:t xml:space="preserve">High</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Flights / Hotels / Cabs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4F8A"/>
                <w:sz w:val="18"/>
                <w:szCs w:val="18"/>
              </w:rPr>
              <w:t xml:space="preserve">GAP-03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Net Profit Not Shown at Booking Confirmation</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2E75B6"/>
                <w:sz w:val="18"/>
                <w:szCs w:val="18"/>
              </w:rPr>
              <w:t xml:space="preserve">High</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Booking Flow</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4F8A"/>
                <w:sz w:val="18"/>
                <w:szCs w:val="18"/>
              </w:rPr>
              <w:t xml:space="preserve">GAP-04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Agent Performance Metrics Missing (Fraud Prevention)</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2E75B6"/>
                <w:sz w:val="18"/>
                <w:szCs w:val="18"/>
              </w:rPr>
              <w:t xml:space="preserve">High</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Reporting / Fraud</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4F8A"/>
                <w:sz w:val="18"/>
                <w:szCs w:val="18"/>
              </w:rPr>
              <w:t xml:space="preserve">GAP-05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Automation for Delayed Trips &amp; Cancellation Estimates</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2E75B6"/>
                <w:sz w:val="18"/>
                <w:szCs w:val="18"/>
              </w:rPr>
              <w:t xml:space="preserve">High</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Operations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4F8A"/>
                <w:sz w:val="18"/>
                <w:szCs w:val="18"/>
              </w:rPr>
              <w:t xml:space="preserve">GAP-06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Booking Agent Cannot Modify Bookings — No Emergency Override</w:t>
            </w:r>
          </w:p>
        </w:tc>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05900"/>
                <w:sz w:val="18"/>
                <w:szCs w:val="18"/>
              </w:rPr>
              <w:t xml:space="preserve">Critical</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Roles &amp; Access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4F8A"/>
                <w:sz w:val="18"/>
                <w:szCs w:val="18"/>
              </w:rPr>
              <w:t xml:space="preserve">GAP-07</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Traventions-Level Support Agent for TMC Platform Queries</w:t>
            </w:r>
          </w:p>
        </w:tc>
        <w:tc>
          <w:tcPr>
            <w:tcW w:type="dxa" w:w="16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b/>
                <w:bCs/>
                <w:color w:val="7F6000"/>
                <w:sz w:val="18"/>
                <w:szCs w:val="18"/>
              </w:rPr>
              <w:t xml:space="preserve">Medium</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Support</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4F8A"/>
                <w:sz w:val="18"/>
                <w:szCs w:val="18"/>
              </w:rPr>
              <w:t xml:space="preserve">GAP-08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Option to Add Ancillary Baggage Pre Check-In After Booking</w:t>
            </w:r>
          </w:p>
        </w:tc>
        <w:tc>
          <w:tcPr>
            <w:tcW w:type="dxa" w:w="16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b/>
                <w:bCs/>
                <w:color w:val="7F6000"/>
                <w:sz w:val="18"/>
                <w:szCs w:val="18"/>
              </w:rPr>
              <w:t xml:space="preserve">Medium</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Flights Ancillaries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4F8A"/>
                <w:sz w:val="18"/>
                <w:szCs w:val="18"/>
              </w:rPr>
              <w:t xml:space="preserve">GAP-09</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Driver-to-TMC Owner Connection Flow Not Defined</w:t>
            </w:r>
          </w:p>
        </w:tc>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05900"/>
                <w:sz w:val="18"/>
                <w:szCs w:val="18"/>
              </w:rPr>
              <w:t xml:space="preserve">Critical</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Cabs Module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4F8A"/>
                <w:sz w:val="18"/>
                <w:szCs w:val="18"/>
              </w:rPr>
              <w:t xml:space="preserve">GAP-10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Price Fluctuation Approval Requires Admin — Timezone Risk</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2E75B6"/>
                <w:sz w:val="18"/>
                <w:szCs w:val="18"/>
              </w:rPr>
              <w:t xml:space="preserve">High</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Pricing / Admin</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4F8A"/>
                <w:sz w:val="18"/>
                <w:szCs w:val="18"/>
              </w:rPr>
              <w:t xml:space="preserve">GAP-11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Credit Limit vs. Wallet Top-Up Ambiguity for TMC Admin</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2E75B6"/>
                <w:sz w:val="18"/>
                <w:szCs w:val="18"/>
              </w:rPr>
              <w:t xml:space="preserve">High</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Financials / Wallet</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4F8A"/>
                <w:sz w:val="18"/>
                <w:szCs w:val="18"/>
              </w:rPr>
              <w:t xml:space="preserve">GAP-12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Fraud Detection or Booking Anomaly Alerts Defined</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2E75B6"/>
                <w:sz w:val="18"/>
                <w:szCs w:val="18"/>
              </w:rPr>
              <w:t xml:space="preserve">High</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Security / Fraud</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4F8A"/>
                <w:sz w:val="18"/>
                <w:szCs w:val="18"/>
              </w:rPr>
              <w:t xml:space="preserve">GAP-13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Session Timeout Too Aggressive for Long Booking Workflows</w:t>
            </w:r>
          </w:p>
        </w:tc>
        <w:tc>
          <w:tcPr>
            <w:tcW w:type="dxa" w:w="16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b/>
                <w:bCs/>
                <w:color w:val="7F6000"/>
                <w:sz w:val="18"/>
                <w:szCs w:val="18"/>
              </w:rPr>
              <w:t xml:space="preserve">Medium</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Security / UX</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4F8A"/>
                <w:sz w:val="18"/>
                <w:szCs w:val="18"/>
              </w:rPr>
              <w:t xml:space="preserve">GAP-14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Multi-Currency or Forex Handling for International TMCs</w:t>
            </w:r>
          </w:p>
        </w:tc>
        <w:tc>
          <w:tcPr>
            <w:tcW w:type="dxa" w:w="16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b/>
                <w:bCs/>
                <w:color w:val="7F6000"/>
                <w:sz w:val="18"/>
                <w:szCs w:val="18"/>
              </w:rPr>
              <w:t xml:space="preserve">Medium</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Financials</w:t>
            </w:r>
          </w:p>
        </w:tc>
      </w:tr>
    </w:tbl>
    <w:p>
      <w:pPr>
        <w:spacing w:before="200" w:after="0"/>
      </w:pPr>
    </w:p>
    <w:p>
      <w:r>
        <w:br w:type="page"/>
      </w:r>
    </w:p>
    <w:p>
      <w:pPr>
        <w:pStyle w:val="Heading1"/>
        <w:pBdr>
          <w:bottom w:val="single" w:color="2E75B6" w:sz="6" w:space="1"/>
        </w:pBdr>
        <w:spacing w:before="360" w:after="120"/>
      </w:pPr>
      <w:r>
        <w:rPr>
          <w:rFonts w:ascii="Arial" w:cs="Arial" w:eastAsia="Arial" w:hAnsi="Arial"/>
          <w:b/>
          <w:bCs/>
          <w:color w:val="1B4F8A"/>
          <w:sz w:val="36"/>
          <w:szCs w:val="36"/>
        </w:rPr>
        <w:t xml:space="preserve">Detailed Gap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960"/>
        <w:gridCol w:w="1800"/>
      </w:tblGrid>
      <w:tr>
        <w:tc>
          <w:tcPr>
            <w:tcW w:type="dxa" w:w="9360"/>
            <w:gridSpan w:val="4"/>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4"/>
                <w:szCs w:val="24"/>
              </w:rPr>
              <w:t xml:space="preserve">GAP-01 — KYC Document Verification — No Authenticity Mechanism</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95959"/>
                <w:sz w:val="18"/>
                <w:szCs w:val="18"/>
              </w:rPr>
              <w:t xml:space="preserve">Severity</w:t>
            </w:r>
          </w:p>
          <w:p>
            <w:r>
              <w:rPr>
                <w:rFonts w:ascii="Arial" w:cs="Arial" w:eastAsia="Arial" w:hAnsi="Arial"/>
                <w:b/>
                <w:bCs/>
                <w:color w:val="C05900"/>
                <w:sz w:val="20"/>
                <w:szCs w:val="20"/>
              </w:rPr>
              <w:t xml:space="preserve">Critical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95959"/>
                <w:sz w:val="18"/>
                <w:szCs w:val="18"/>
              </w:rPr>
              <w:t xml:space="preserve">Module</w:t>
            </w:r>
          </w:p>
          <w:p>
            <w:r>
              <w:rPr>
                <w:rFonts w:ascii="Arial" w:cs="Arial" w:eastAsia="Arial" w:hAnsi="Arial"/>
                <w:color w:val="1A1A1A"/>
                <w:sz w:val="20"/>
                <w:szCs w:val="20"/>
              </w:rPr>
              <w:t xml:space="preserve">Onboarding / KYC</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95959"/>
                <w:sz w:val="18"/>
                <w:szCs w:val="18"/>
              </w:rPr>
              <w:t xml:space="preserve">Owner / Role</w:t>
            </w:r>
          </w:p>
          <w:p>
            <w:r>
              <w:rPr>
                <w:rFonts w:ascii="Arial" w:cs="Arial" w:eastAsia="Arial" w:hAnsi="Arial"/>
                <w:color w:val="1A1A1A"/>
                <w:sz w:val="20"/>
                <w:szCs w:val="20"/>
              </w:rPr>
              <w:t xml:space="preserve">Super Admin - Operations, Finance, Legal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95959"/>
                <w:sz w:val="18"/>
                <w:szCs w:val="18"/>
              </w:rPr>
              <w:t xml:space="preserve">Phase</w:t>
            </w:r>
          </w:p>
          <w:p>
            <w:r>
              <w:rPr>
                <w:rFonts w:ascii="Arial" w:cs="Arial" w:eastAsia="Arial" w:hAnsi="Arial"/>
                <w:color w:val="1A1A1A"/>
                <w:sz w:val="20"/>
                <w:szCs w:val="20"/>
              </w:rPr>
              <w:t xml:space="preserve">Phase 1–2</w:t>
            </w:r>
          </w:p>
        </w:tc>
      </w:tr>
      <w:tr>
        <w:tc>
          <w:tcPr>
            <w:tcW w:type="dxa" w:w="9360"/>
            <w:gridSpan w:val="4"/>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before="60" w:after="60"/>
            </w:pPr>
            <w:r>
              <w:rPr>
                <w:rFonts w:ascii="Arial" w:cs="Arial" w:eastAsia="Arial" w:hAnsi="Arial"/>
                <w:b/>
                <w:bCs/>
                <w:color w:val="2E75B6"/>
                <w:sz w:val="20"/>
                <w:szCs w:val="20"/>
              </w:rPr>
              <w:t xml:space="preserve">Problem Statement</w:t>
            </w:r>
          </w:p>
          <w:p>
            <w:pPr>
              <w:spacing w:before="0" w:after="100"/>
            </w:pPr>
            <w:r>
              <w:rPr>
                <w:rFonts w:ascii="Arial" w:cs="Arial" w:eastAsia="Arial" w:hAnsi="Arial"/>
                <w:color w:val="1A1A1A"/>
                <w:sz w:val="20"/>
                <w:szCs w:val="20"/>
              </w:rPr>
              <w:t xml:space="preserve">The BRD states that Super Admin - Operations must 'verify KYC documents' (IATA certificate, PAN, Business Registration, Address Proof, Bank Details) and 'cross-check IATA number'. However, there is no mechanism defined for HOW verification happens. Is it purely manual inspection? Are documents checked against a government or IATA database? Who is responsible for forgeries? What happens if a fraudulent entity gains TMC approval and processes bookings before the fraud is detected?</w:t>
            </w:r>
          </w:p>
          <w:p>
            <w:pPr>
              <w:spacing w:before="60" w:after="60"/>
            </w:pPr>
            <w:r>
              <w:rPr>
                <w:rFonts w:ascii="Arial" w:cs="Arial" w:eastAsia="Arial" w:hAnsi="Arial"/>
                <w:b/>
                <w:bCs/>
                <w:color w:val="2E75B6"/>
                <w:sz w:val="20"/>
                <w:szCs w:val="20"/>
              </w:rPr>
              <w:t xml:space="preserve">Proposed Solution</w:t>
            </w:r>
          </w:p>
          <w:p>
            <w:pPr>
              <w:spacing w:before="0" w:after="100"/>
            </w:pPr>
            <w:r>
              <w:rPr>
                <w:rFonts w:ascii="Arial" w:cs="Arial" w:eastAsia="Arial" w:hAnsi="Arial"/>
                <w:color w:val="1A1A1A"/>
                <w:sz w:val="20"/>
                <w:szCs w:val="20"/>
              </w:rPr>
              <w:t xml:space="preserve">Implement a layered KYC verification framework: (1) Automated document validity checks via third-party APIs at upload time, (2) A checklist-based manual review workflow for the Operations Admin, and (3) A probationary booking cap for newly onboarded TMCs until KYC is fully cleared. Integrate with IATA registry APIs for certificate validation and with government APIs (e.g., GST/PAN verification in India) for tax ID checks.</w:t>
            </w:r>
          </w:p>
          <w:p>
            <w:pPr>
              <w:spacing w:before="60" w:after="60"/>
            </w:pPr>
            <w:r>
              <w:rPr>
                <w:rFonts w:ascii="Arial" w:cs="Arial" w:eastAsia="Arial" w:hAnsi="Arial"/>
                <w:b/>
                <w:bCs/>
                <w:color w:val="2E75B6"/>
                <w:sz w:val="20"/>
                <w:szCs w:val="20"/>
              </w:rPr>
              <w:t xml:space="preserve">Implementation Steps</w:t>
            </w:r>
          </w:p>
          <w:p>
            <w:pPr>
              <w:pStyle w:val="ListParagraph"/>
              <w:numPr>
                <w:ilvl w:val="0"/>
                <w:numId w:val="2"/>
              </w:numPr>
              <w:spacing w:before="40" w:after="40"/>
            </w:pPr>
            <w:r>
              <w:rPr>
                <w:rFonts w:ascii="Arial" w:cs="Arial" w:eastAsia="Arial" w:hAnsi="Arial"/>
                <w:color w:val="1A1A1A"/>
                <w:sz w:val="20"/>
                <w:szCs w:val="20"/>
              </w:rPr>
              <w:t xml:space="preserve">Integrate IATA registry API to validate IATA certificate numbers at submission time — flag mismatches before the application enters the review queue.</w:t>
            </w:r>
          </w:p>
          <w:p>
            <w:pPr>
              <w:pStyle w:val="ListParagraph"/>
              <w:numPr>
                <w:ilvl w:val="0"/>
                <w:numId w:val="2"/>
              </w:numPr>
              <w:spacing w:before="40" w:after="40"/>
            </w:pPr>
            <w:r>
              <w:rPr>
                <w:rFonts w:ascii="Arial" w:cs="Arial" w:eastAsia="Arial" w:hAnsi="Arial"/>
                <w:color w:val="1A1A1A"/>
                <w:sz w:val="20"/>
                <w:szCs w:val="20"/>
              </w:rPr>
              <w:t xml:space="preserve">Integrate PAN/Tax ID verification API (e.g., Sandbox or Karza for Indian TMCs) — auto-verify PAN and return a pass/fail flag on the application.</w:t>
            </w:r>
          </w:p>
          <w:p>
            <w:pPr>
              <w:pStyle w:val="ListParagraph"/>
              <w:numPr>
                <w:ilvl w:val="0"/>
                <w:numId w:val="2"/>
              </w:numPr>
              <w:spacing w:before="40" w:after="40"/>
            </w:pPr>
            <w:r>
              <w:rPr>
                <w:rFonts w:ascii="Arial" w:cs="Arial" w:eastAsia="Arial" w:hAnsi="Arial"/>
                <w:color w:val="1A1A1A"/>
                <w:sz w:val="20"/>
                <w:szCs w:val="20"/>
              </w:rPr>
              <w:t xml:space="preserve">Build a structured KYC Checklist UI for Operations Admin: each document must be individually marked 'Verified', 'Rejected', or 'Needs Resubmission' with a mandatory reason field.</w:t>
            </w:r>
          </w:p>
          <w:p>
            <w:pPr>
              <w:pStyle w:val="ListParagraph"/>
              <w:numPr>
                <w:ilvl w:val="0"/>
                <w:numId w:val="2"/>
              </w:numPr>
              <w:spacing w:before="40" w:after="40"/>
            </w:pPr>
            <w:r>
              <w:rPr>
                <w:rFonts w:ascii="Arial" w:cs="Arial" w:eastAsia="Arial" w:hAnsi="Arial"/>
                <w:color w:val="1A1A1A"/>
                <w:sz w:val="20"/>
                <w:szCs w:val="20"/>
              </w:rPr>
              <w:t xml:space="preserve">Implement a 'Probationary TMC' status post-approval: new TMCs are capped at a maximum booking GMV of INR 5 lakhs (or equivalent) for the first 30 days. Cap is lifted automatically when Super Admin - Finance marks them fully cleared.</w:t>
            </w:r>
          </w:p>
          <w:p>
            <w:pPr>
              <w:pStyle w:val="ListParagraph"/>
              <w:numPr>
                <w:ilvl w:val="0"/>
                <w:numId w:val="2"/>
              </w:numPr>
              <w:spacing w:before="40" w:after="40"/>
            </w:pPr>
            <w:r>
              <w:rPr>
                <w:rFonts w:ascii="Arial" w:cs="Arial" w:eastAsia="Arial" w:hAnsi="Arial"/>
                <w:color w:val="1A1A1A"/>
                <w:sz w:val="20"/>
                <w:szCs w:val="20"/>
              </w:rPr>
              <w:t xml:space="preserve">Store document hashes and verification timestamps in an audit-proof log for compliance purposes.</w:t>
            </w:r>
          </w:p>
          <w:p>
            <w:pPr>
              <w:pStyle w:val="ListParagraph"/>
              <w:numPr>
                <w:ilvl w:val="0"/>
                <w:numId w:val="2"/>
              </w:numPr>
              <w:spacing w:before="40" w:after="40"/>
            </w:pPr>
            <w:r>
              <w:rPr>
                <w:rFonts w:ascii="Arial" w:cs="Arial" w:eastAsia="Arial" w:hAnsi="Arial"/>
                <w:color w:val="1A1A1A"/>
                <w:sz w:val="20"/>
                <w:szCs w:val="20"/>
              </w:rPr>
              <w:t xml:space="preserve">Add a 'Flag for Re-KYC' action on any existing TMC profile that Super Admin - Operations can trigger at any time (e.g., if suspicious activity is found).</w:t>
            </w:r>
          </w:p>
          <w:p>
            <w:pPr>
              <w:pStyle w:val="ListParagraph"/>
              <w:numPr>
                <w:ilvl w:val="0"/>
                <w:numId w:val="2"/>
              </w:numPr>
              <w:spacing w:before="40" w:after="40"/>
            </w:pPr>
            <w:r>
              <w:rPr>
                <w:rFonts w:ascii="Arial" w:cs="Arial" w:eastAsia="Arial" w:hAnsi="Arial"/>
                <w:color w:val="1A1A1A"/>
                <w:sz w:val="20"/>
                <w:szCs w:val="20"/>
              </w:rPr>
              <w:t xml:space="preserve">Define liability policy in the platform terms: document what happens if a TMC commits fraud using falsified KYC — this must be in legal ToS before platform goes live.</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960"/>
        <w:gridCol w:w="1800"/>
      </w:tblGrid>
      <w:tr>
        <w:tc>
          <w:tcPr>
            <w:tcW w:type="dxa" w:w="9360"/>
            <w:gridSpan w:val="4"/>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4"/>
                <w:szCs w:val="24"/>
              </w:rPr>
              <w:t xml:space="preserve">GAP-02 — No Trip Bundle Functionality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95959"/>
                <w:sz w:val="18"/>
                <w:szCs w:val="18"/>
              </w:rPr>
              <w:t xml:space="preserve">Severity</w:t>
            </w:r>
          </w:p>
          <w:p>
            <w:r>
              <w:rPr>
                <w:rFonts w:ascii="Arial" w:cs="Arial" w:eastAsia="Arial" w:hAnsi="Arial"/>
                <w:b/>
                <w:bCs/>
                <w:color w:val="2E75B6"/>
                <w:sz w:val="20"/>
                <w:szCs w:val="20"/>
              </w:rPr>
              <w:t xml:space="preserve">High</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95959"/>
                <w:sz w:val="18"/>
                <w:szCs w:val="18"/>
              </w:rPr>
              <w:t xml:space="preserve">Module</w:t>
            </w:r>
          </w:p>
          <w:p>
            <w:r>
              <w:rPr>
                <w:rFonts w:ascii="Arial" w:cs="Arial" w:eastAsia="Arial" w:hAnsi="Arial"/>
                <w:color w:val="1A1A1A"/>
                <w:sz w:val="20"/>
                <w:szCs w:val="20"/>
              </w:rPr>
              <w:t xml:space="preserve">Flights / Hotels / Cabs</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95959"/>
                <w:sz w:val="18"/>
                <w:szCs w:val="18"/>
              </w:rPr>
              <w:t xml:space="preserve">Owner / Role</w:t>
            </w:r>
          </w:p>
          <w:p>
            <w:r>
              <w:rPr>
                <w:rFonts w:ascii="Arial" w:cs="Arial" w:eastAsia="Arial" w:hAnsi="Arial"/>
                <w:color w:val="1A1A1A"/>
                <w:sz w:val="20"/>
                <w:szCs w:val="20"/>
              </w:rPr>
              <w:t xml:space="preserve">TMC Admin, TMC Booking Agent, Product Team</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95959"/>
                <w:sz w:val="18"/>
                <w:szCs w:val="18"/>
              </w:rPr>
              <w:t xml:space="preserve">Phase</w:t>
            </w:r>
          </w:p>
          <w:p>
            <w:r>
              <w:rPr>
                <w:rFonts w:ascii="Arial" w:cs="Arial" w:eastAsia="Arial" w:hAnsi="Arial"/>
                <w:color w:val="1A1A1A"/>
                <w:sz w:val="20"/>
                <w:szCs w:val="20"/>
              </w:rPr>
              <w:t xml:space="preserve">Phase 1–2</w:t>
            </w:r>
          </w:p>
        </w:tc>
      </w:tr>
      <w:tr>
        <w:tc>
          <w:tcPr>
            <w:tcW w:type="dxa" w:w="9360"/>
            <w:gridSpan w:val="4"/>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before="60" w:after="60"/>
            </w:pPr>
            <w:r>
              <w:rPr>
                <w:rFonts w:ascii="Arial" w:cs="Arial" w:eastAsia="Arial" w:hAnsi="Arial"/>
                <w:b/>
                <w:bCs/>
                <w:color w:val="2E75B6"/>
                <w:sz w:val="20"/>
                <w:szCs w:val="20"/>
              </w:rPr>
              <w:t xml:space="preserve">Problem Statement</w:t>
            </w:r>
          </w:p>
          <w:p>
            <w:pPr>
              <w:spacing w:before="0" w:after="100"/>
            </w:pPr>
            <w:r>
              <w:rPr>
                <w:rFonts w:ascii="Arial" w:cs="Arial" w:eastAsia="Arial" w:hAnsi="Arial"/>
                <w:color w:val="1A1A1A"/>
                <w:sz w:val="20"/>
                <w:szCs w:val="20"/>
              </w:rPr>
              <w:t xml:space="preserve">The BRD treats Flights, Hotels, and Cabs as three fully separate booking flows with no mechanism to link them into a single client trip. A TMC agent booking a business trip for a client must perform three separate bookings, manage three separate confirmation numbers, and generate three separate invoices. There is no bundle view, no combined itinerary for the client, no shared reference, and no single-payment option. This is a major workflow gap that reduces agent efficiency and client experience.</w:t>
            </w:r>
          </w:p>
          <w:p>
            <w:pPr>
              <w:spacing w:before="60" w:after="60"/>
            </w:pPr>
            <w:r>
              <w:rPr>
                <w:rFonts w:ascii="Arial" w:cs="Arial" w:eastAsia="Arial" w:hAnsi="Arial"/>
                <w:b/>
                <w:bCs/>
                <w:color w:val="2E75B6"/>
                <w:sz w:val="20"/>
                <w:szCs w:val="20"/>
              </w:rPr>
              <w:t xml:space="preserve">Proposed Solution</w:t>
            </w:r>
          </w:p>
          <w:p>
            <w:pPr>
              <w:spacing w:before="0" w:after="100"/>
            </w:pPr>
            <w:r>
              <w:rPr>
                <w:rFonts w:ascii="Arial" w:cs="Arial" w:eastAsia="Arial" w:hAnsi="Arial"/>
                <w:color w:val="1A1A1A"/>
                <w:sz w:val="20"/>
                <w:szCs w:val="20"/>
              </w:rPr>
              <w:t xml:space="preserve">Introduce a 'Trip Builder' feature that allows a TMC agent or admin to group multiple bookings (flight + hotel + cab) under a single Trip Reference ID. The trip can be built sequentially or in a single workflow. A consolidated itinerary document is generated, and optionally a single combined invoice.</w:t>
            </w:r>
          </w:p>
          <w:p>
            <w:pPr>
              <w:spacing w:before="60" w:after="60"/>
            </w:pPr>
            <w:r>
              <w:rPr>
                <w:rFonts w:ascii="Arial" w:cs="Arial" w:eastAsia="Arial" w:hAnsi="Arial"/>
                <w:b/>
                <w:bCs/>
                <w:color w:val="2E75B6"/>
                <w:sz w:val="20"/>
                <w:szCs w:val="20"/>
              </w:rPr>
              <w:t xml:space="preserve">Implementation Steps</w:t>
            </w:r>
          </w:p>
          <w:p>
            <w:pPr>
              <w:pStyle w:val="ListParagraph"/>
              <w:numPr>
                <w:ilvl w:val="0"/>
                <w:numId w:val="2"/>
              </w:numPr>
              <w:spacing w:before="40" w:after="40"/>
            </w:pPr>
            <w:r>
              <w:rPr>
                <w:rFonts w:ascii="Arial" w:cs="Arial" w:eastAsia="Arial" w:hAnsi="Arial"/>
                <w:color w:val="1A1A1A"/>
                <w:sz w:val="20"/>
                <w:szCs w:val="20"/>
              </w:rPr>
              <w:t xml:space="preserve">Add a 'New Trip' entry point on the booking dashboard. When created, a Trip ID (e.g., TRP-20240115-001) is generated.</w:t>
            </w:r>
          </w:p>
          <w:p>
            <w:pPr>
              <w:pStyle w:val="ListParagraph"/>
              <w:numPr>
                <w:ilvl w:val="0"/>
                <w:numId w:val="2"/>
              </w:numPr>
              <w:spacing w:before="40" w:after="40"/>
            </w:pPr>
            <w:r>
              <w:rPr>
                <w:rFonts w:ascii="Arial" w:cs="Arial" w:eastAsia="Arial" w:hAnsi="Arial"/>
                <w:color w:val="1A1A1A"/>
                <w:sz w:val="20"/>
                <w:szCs w:val="20"/>
              </w:rPr>
              <w:t xml:space="preserve">Allow the agent to add existing bookings or create new bookings within a trip context — the booking flow detects an active trip and auto-associates the booking.</w:t>
            </w:r>
          </w:p>
          <w:p>
            <w:pPr>
              <w:pStyle w:val="ListParagraph"/>
              <w:numPr>
                <w:ilvl w:val="0"/>
                <w:numId w:val="2"/>
              </w:numPr>
              <w:spacing w:before="40" w:after="40"/>
            </w:pPr>
            <w:r>
              <w:rPr>
                <w:rFonts w:ascii="Arial" w:cs="Arial" w:eastAsia="Arial" w:hAnsi="Arial"/>
                <w:color w:val="1A1A1A"/>
                <w:sz w:val="20"/>
                <w:szCs w:val="20"/>
              </w:rPr>
              <w:t xml:space="preserve">Display a 'Trip View' page showing all linked bookings: flight segment, hotel check-in/out, and cab transfers in chronological order.</w:t>
            </w:r>
          </w:p>
          <w:p>
            <w:pPr>
              <w:pStyle w:val="ListParagraph"/>
              <w:numPr>
                <w:ilvl w:val="0"/>
                <w:numId w:val="2"/>
              </w:numPr>
              <w:spacing w:before="40" w:after="40"/>
            </w:pPr>
            <w:r>
              <w:rPr>
                <w:rFonts w:ascii="Arial" w:cs="Arial" w:eastAsia="Arial" w:hAnsi="Arial"/>
                <w:color w:val="1A1A1A"/>
                <w:sz w:val="20"/>
                <w:szCs w:val="20"/>
              </w:rPr>
              <w:t xml:space="preserve">Generate a Consolidated Trip Itinerary PDF that presents all bookings in a single, professionally formatted document for the client.</w:t>
            </w:r>
          </w:p>
          <w:p>
            <w:pPr>
              <w:pStyle w:val="ListParagraph"/>
              <w:numPr>
                <w:ilvl w:val="0"/>
                <w:numId w:val="2"/>
              </w:numPr>
              <w:spacing w:before="40" w:after="40"/>
            </w:pPr>
            <w:r>
              <w:rPr>
                <w:rFonts w:ascii="Arial" w:cs="Arial" w:eastAsia="Arial" w:hAnsi="Arial"/>
                <w:color w:val="1A1A1A"/>
                <w:sz w:val="20"/>
                <w:szCs w:val="20"/>
              </w:rPr>
              <w:t xml:space="preserve">Generate a Combined Invoice when requested: shows all booking amounts, taxes, and commissions under one invoice number.</w:t>
            </w:r>
          </w:p>
          <w:p>
            <w:pPr>
              <w:pStyle w:val="ListParagraph"/>
              <w:numPr>
                <w:ilvl w:val="0"/>
                <w:numId w:val="2"/>
              </w:numPr>
              <w:spacing w:before="40" w:after="40"/>
            </w:pPr>
            <w:r>
              <w:rPr>
                <w:rFonts w:ascii="Arial" w:cs="Arial" w:eastAsia="Arial" w:hAnsi="Arial"/>
                <w:color w:val="1A1A1A"/>
                <w:sz w:val="20"/>
                <w:szCs w:val="20"/>
              </w:rPr>
              <w:t xml:space="preserve">Show total trip cost and total commission earned across all bundled bookings.</w:t>
            </w:r>
          </w:p>
          <w:p>
            <w:pPr>
              <w:pStyle w:val="ListParagraph"/>
              <w:numPr>
                <w:ilvl w:val="0"/>
                <w:numId w:val="2"/>
              </w:numPr>
              <w:spacing w:before="40" w:after="40"/>
            </w:pPr>
            <w:r>
              <w:rPr>
                <w:rFonts w:ascii="Arial" w:cs="Arial" w:eastAsia="Arial" w:hAnsi="Arial"/>
                <w:color w:val="1A1A1A"/>
                <w:sz w:val="20"/>
                <w:szCs w:val="20"/>
              </w:rPr>
              <w:t xml:space="preserve">Allow partial cancellation of a trip (e.g., cancel the cab without touching the flight).</w:t>
            </w:r>
          </w:p>
          <w:p>
            <w:pPr>
              <w:pStyle w:val="ListParagraph"/>
              <w:numPr>
                <w:ilvl w:val="0"/>
                <w:numId w:val="2"/>
              </w:numPr>
              <w:spacing w:before="40" w:after="40"/>
            </w:pPr>
            <w:r>
              <w:rPr>
                <w:rFonts w:ascii="Arial" w:cs="Arial" w:eastAsia="Arial" w:hAnsi="Arial"/>
                <w:color w:val="1A1A1A"/>
                <w:sz w:val="20"/>
                <w:szCs w:val="20"/>
              </w:rPr>
              <w:t xml:space="preserve">Allow the trip to be shared via email or WhatsApp as a single itinerary link or PDF.</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960"/>
        <w:gridCol w:w="1800"/>
      </w:tblGrid>
      <w:tr>
        <w:tc>
          <w:tcPr>
            <w:tcW w:type="dxa" w:w="9360"/>
            <w:gridSpan w:val="4"/>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4"/>
                <w:szCs w:val="24"/>
              </w:rPr>
              <w:t xml:space="preserve">GAP-03 — Net Profit Not Shown at Booking Confirmation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95959"/>
                <w:sz w:val="18"/>
                <w:szCs w:val="18"/>
              </w:rPr>
              <w:t xml:space="preserve">Severity</w:t>
            </w:r>
          </w:p>
          <w:p>
            <w:r>
              <w:rPr>
                <w:rFonts w:ascii="Arial" w:cs="Arial" w:eastAsia="Arial" w:hAnsi="Arial"/>
                <w:b/>
                <w:bCs/>
                <w:color w:val="2E75B6"/>
                <w:sz w:val="20"/>
                <w:szCs w:val="20"/>
              </w:rPr>
              <w:t xml:space="preserve">High</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95959"/>
                <w:sz w:val="18"/>
                <w:szCs w:val="18"/>
              </w:rPr>
              <w:t xml:space="preserve">Module</w:t>
            </w:r>
          </w:p>
          <w:p>
            <w:r>
              <w:rPr>
                <w:rFonts w:ascii="Arial" w:cs="Arial" w:eastAsia="Arial" w:hAnsi="Arial"/>
                <w:color w:val="1A1A1A"/>
                <w:sz w:val="20"/>
                <w:szCs w:val="20"/>
              </w:rPr>
              <w:t xml:space="preserve">Booking Flow</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95959"/>
                <w:sz w:val="18"/>
                <w:szCs w:val="18"/>
              </w:rPr>
              <w:t xml:space="preserve">Owner / Role</w:t>
            </w:r>
          </w:p>
          <w:p>
            <w:r>
              <w:rPr>
                <w:rFonts w:ascii="Arial" w:cs="Arial" w:eastAsia="Arial" w:hAnsi="Arial"/>
                <w:color w:val="1A1A1A"/>
                <w:sz w:val="20"/>
                <w:szCs w:val="20"/>
              </w:rPr>
              <w:t xml:space="preserve">TMC Admin, TMC Booking Agent, Finance Team</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95959"/>
                <w:sz w:val="18"/>
                <w:szCs w:val="18"/>
              </w:rPr>
              <w:t xml:space="preserve">Phase</w:t>
            </w:r>
          </w:p>
          <w:p>
            <w:r>
              <w:rPr>
                <w:rFonts w:ascii="Arial" w:cs="Arial" w:eastAsia="Arial" w:hAnsi="Arial"/>
                <w:color w:val="1A1A1A"/>
                <w:sz w:val="20"/>
                <w:szCs w:val="20"/>
              </w:rPr>
              <w:t xml:space="preserve">Phase 1–2</w:t>
            </w:r>
          </w:p>
        </w:tc>
      </w:tr>
      <w:tr>
        <w:tc>
          <w:tcPr>
            <w:tcW w:type="dxa" w:w="9360"/>
            <w:gridSpan w:val="4"/>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before="60" w:after="60"/>
            </w:pPr>
            <w:r>
              <w:rPr>
                <w:rFonts w:ascii="Arial" w:cs="Arial" w:eastAsia="Arial" w:hAnsi="Arial"/>
                <w:b/>
                <w:bCs/>
                <w:color w:val="2E75B6"/>
                <w:sz w:val="20"/>
                <w:szCs w:val="20"/>
              </w:rPr>
              <w:t xml:space="preserve">Problem Statement</w:t>
            </w:r>
          </w:p>
          <w:p>
            <w:pPr>
              <w:spacing w:before="0" w:after="100"/>
            </w:pPr>
            <w:r>
              <w:rPr>
                <w:rFonts w:ascii="Arial" w:cs="Arial" w:eastAsia="Arial" w:hAnsi="Arial"/>
                <w:color w:val="1A1A1A"/>
                <w:sz w:val="20"/>
                <w:szCs w:val="20"/>
              </w:rPr>
              <w:t xml:space="preserve">The BRD shows commission displayed for agents (e.g., 'Commission: 8%, Your Earning: $72.00'), but this is gross commission before any platform service fees, payment gateway charges, or markup costs are deducted. The agent and TMC Admin have no visibility into the actual net margin on a booking at the point of purchase. This leads to uninformed pricing decisions and poor profitability tracking.</w:t>
            </w:r>
          </w:p>
          <w:p>
            <w:pPr>
              <w:spacing w:before="60" w:after="60"/>
            </w:pPr>
            <w:r>
              <w:rPr>
                <w:rFonts w:ascii="Arial" w:cs="Arial" w:eastAsia="Arial" w:hAnsi="Arial"/>
                <w:b/>
                <w:bCs/>
                <w:color w:val="2E75B6"/>
                <w:sz w:val="20"/>
                <w:szCs w:val="20"/>
              </w:rPr>
              <w:t xml:space="preserve">Proposed Solution</w:t>
            </w:r>
          </w:p>
          <w:p>
            <w:pPr>
              <w:spacing w:before="0" w:after="100"/>
            </w:pPr>
            <w:r>
              <w:rPr>
                <w:rFonts w:ascii="Arial" w:cs="Arial" w:eastAsia="Arial" w:hAnsi="Arial"/>
                <w:color w:val="1A1A1A"/>
                <w:sz w:val="20"/>
                <w:szCs w:val="20"/>
              </w:rPr>
              <w:t xml:space="preserve">At the booking review/confirmation step, display a breakdown that shows: Gross Commission, Platform Service Fee deducted, Payment Gateway Fee (if applicable), and the resulting Net Profit for the TMC. This should be visible to TMC Admin at all times and optionally to Booking Agents (configurable by TMC Admin).</w:t>
            </w:r>
          </w:p>
          <w:p>
            <w:pPr>
              <w:spacing w:before="60" w:after="60"/>
            </w:pPr>
            <w:r>
              <w:rPr>
                <w:rFonts w:ascii="Arial" w:cs="Arial" w:eastAsia="Arial" w:hAnsi="Arial"/>
                <w:b/>
                <w:bCs/>
                <w:color w:val="2E75B6"/>
                <w:sz w:val="20"/>
                <w:szCs w:val="20"/>
              </w:rPr>
              <w:t xml:space="preserve">Implementation Steps</w:t>
            </w:r>
          </w:p>
          <w:p>
            <w:pPr>
              <w:pStyle w:val="ListParagraph"/>
              <w:numPr>
                <w:ilvl w:val="0"/>
                <w:numId w:val="2"/>
              </w:numPr>
              <w:spacing w:before="40" w:after="40"/>
            </w:pPr>
            <w:r>
              <w:rPr>
                <w:rFonts w:ascii="Arial" w:cs="Arial" w:eastAsia="Arial" w:hAnsi="Arial"/>
                <w:color w:val="1A1A1A"/>
                <w:sz w:val="20"/>
                <w:szCs w:val="20"/>
              </w:rPr>
              <w:t xml:space="preserve">Define the fee structure data model: Platform Service Fee (flat or %), Payment Gateway Fee (%), and any other deductions applicable per service type.</w:t>
            </w:r>
          </w:p>
          <w:p>
            <w:pPr>
              <w:pStyle w:val="ListParagraph"/>
              <w:numPr>
                <w:ilvl w:val="0"/>
                <w:numId w:val="2"/>
              </w:numPr>
              <w:spacing w:before="40" w:after="40"/>
            </w:pPr>
            <w:r>
              <w:rPr>
                <w:rFonts w:ascii="Arial" w:cs="Arial" w:eastAsia="Arial" w:hAnsi="Arial"/>
                <w:color w:val="1A1A1A"/>
                <w:sz w:val="20"/>
                <w:szCs w:val="20"/>
              </w:rPr>
              <w:t xml:space="preserve">At the booking confirmation screen, after the fare breakdown, add a 'Your Earnings Breakdown' section: Gross Commission → minus Platform Fee → minus Gateway Fee → equals Net Profit (highlighted in green).</w:t>
            </w:r>
          </w:p>
          <w:p>
            <w:pPr>
              <w:pStyle w:val="ListParagraph"/>
              <w:numPr>
                <w:ilvl w:val="0"/>
                <w:numId w:val="2"/>
              </w:numPr>
              <w:spacing w:before="40" w:after="40"/>
            </w:pPr>
            <w:r>
              <w:rPr>
                <w:rFonts w:ascii="Arial" w:cs="Arial" w:eastAsia="Arial" w:hAnsi="Arial"/>
                <w:color w:val="1A1A1A"/>
                <w:sz w:val="20"/>
                <w:szCs w:val="20"/>
              </w:rPr>
              <w:t xml:space="preserve">Allow TMC Admin to configure whether Booking Agents can see the Net Profit field or only the Gross Commission.</w:t>
            </w:r>
          </w:p>
          <w:p>
            <w:pPr>
              <w:pStyle w:val="ListParagraph"/>
              <w:numPr>
                <w:ilvl w:val="0"/>
                <w:numId w:val="2"/>
              </w:numPr>
              <w:spacing w:before="40" w:after="40"/>
            </w:pPr>
            <w:r>
              <w:rPr>
                <w:rFonts w:ascii="Arial" w:cs="Arial" w:eastAsia="Arial" w:hAnsi="Arial"/>
                <w:color w:val="1A1A1A"/>
                <w:sz w:val="20"/>
                <w:szCs w:val="20"/>
              </w:rPr>
              <w:t xml:space="preserve">Persist Net Profit per booking in the database so it appears in booking history and commission reports.</w:t>
            </w:r>
          </w:p>
          <w:p>
            <w:pPr>
              <w:pStyle w:val="ListParagraph"/>
              <w:numPr>
                <w:ilvl w:val="0"/>
                <w:numId w:val="2"/>
              </w:numPr>
              <w:spacing w:before="40" w:after="40"/>
            </w:pPr>
            <w:r>
              <w:rPr>
                <w:rFonts w:ascii="Arial" w:cs="Arial" w:eastAsia="Arial" w:hAnsi="Arial"/>
                <w:color w:val="1A1A1A"/>
                <w:sz w:val="20"/>
                <w:szCs w:val="20"/>
              </w:rPr>
              <w:t xml:space="preserve">Add a 'Net Profit' column to the agent commission report and the TMC-wide revenue dashboard.</w:t>
            </w:r>
          </w:p>
          <w:p>
            <w:pPr>
              <w:pStyle w:val="ListParagraph"/>
              <w:numPr>
                <w:ilvl w:val="0"/>
                <w:numId w:val="2"/>
              </w:numPr>
              <w:spacing w:before="40" w:after="40"/>
            </w:pPr>
            <w:r>
              <w:rPr>
                <w:rFonts w:ascii="Arial" w:cs="Arial" w:eastAsia="Arial" w:hAnsi="Arial"/>
                <w:color w:val="1A1A1A"/>
                <w:sz w:val="20"/>
                <w:szCs w:val="20"/>
              </w:rPr>
              <w:t xml:space="preserve">Show a running 'Today's Net Earnings' figure on the Booking Agent dashboard home screen.</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960"/>
        <w:gridCol w:w="1800"/>
      </w:tblGrid>
      <w:tr>
        <w:tc>
          <w:tcPr>
            <w:tcW w:type="dxa" w:w="9360"/>
            <w:gridSpan w:val="4"/>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4"/>
                <w:szCs w:val="24"/>
              </w:rPr>
              <w:t xml:space="preserve">GAP-04 — Agent Performance Metrics Missing — Fraud Prevention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95959"/>
                <w:sz w:val="18"/>
                <w:szCs w:val="18"/>
              </w:rPr>
              <w:t xml:space="preserve">Severity</w:t>
            </w:r>
          </w:p>
          <w:p>
            <w:r>
              <w:rPr>
                <w:rFonts w:ascii="Arial" w:cs="Arial" w:eastAsia="Arial" w:hAnsi="Arial"/>
                <w:b/>
                <w:bCs/>
                <w:color w:val="2E75B6"/>
                <w:sz w:val="20"/>
                <w:szCs w:val="20"/>
              </w:rPr>
              <w:t xml:space="preserve">High</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95959"/>
                <w:sz w:val="18"/>
                <w:szCs w:val="18"/>
              </w:rPr>
              <w:t xml:space="preserve">Module</w:t>
            </w:r>
          </w:p>
          <w:p>
            <w:r>
              <w:rPr>
                <w:rFonts w:ascii="Arial" w:cs="Arial" w:eastAsia="Arial" w:hAnsi="Arial"/>
                <w:color w:val="1A1A1A"/>
                <w:sz w:val="20"/>
                <w:szCs w:val="20"/>
              </w:rPr>
              <w:t xml:space="preserve">Reporting / Fraud</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95959"/>
                <w:sz w:val="18"/>
                <w:szCs w:val="18"/>
              </w:rPr>
              <w:t xml:space="preserve">Owner / Role</w:t>
            </w:r>
          </w:p>
          <w:p>
            <w:r>
              <w:rPr>
                <w:rFonts w:ascii="Arial" w:cs="Arial" w:eastAsia="Arial" w:hAnsi="Arial"/>
                <w:color w:val="1A1A1A"/>
                <w:sz w:val="20"/>
                <w:szCs w:val="20"/>
              </w:rPr>
              <w:t xml:space="preserve">TMC Admin, Super Admin - Operations, Engineering</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95959"/>
                <w:sz w:val="18"/>
                <w:szCs w:val="18"/>
              </w:rPr>
              <w:t xml:space="preserve">Phase</w:t>
            </w:r>
          </w:p>
          <w:p>
            <w:r>
              <w:rPr>
                <w:rFonts w:ascii="Arial" w:cs="Arial" w:eastAsia="Arial" w:hAnsi="Arial"/>
                <w:color w:val="1A1A1A"/>
                <w:sz w:val="20"/>
                <w:szCs w:val="20"/>
              </w:rPr>
              <w:t xml:space="preserve">Phase 1–2</w:t>
            </w:r>
          </w:p>
        </w:tc>
      </w:tr>
      <w:tr>
        <w:tc>
          <w:tcPr>
            <w:tcW w:type="dxa" w:w="9360"/>
            <w:gridSpan w:val="4"/>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before="60" w:after="60"/>
            </w:pPr>
            <w:r>
              <w:rPr>
                <w:rFonts w:ascii="Arial" w:cs="Arial" w:eastAsia="Arial" w:hAnsi="Arial"/>
                <w:b/>
                <w:bCs/>
                <w:color w:val="2E75B6"/>
                <w:sz w:val="20"/>
                <w:szCs w:val="20"/>
              </w:rPr>
              <w:t xml:space="preserve">Problem Statement</w:t>
            </w:r>
          </w:p>
          <w:p>
            <w:pPr>
              <w:spacing w:before="0" w:after="100"/>
            </w:pPr>
            <w:r>
              <w:rPr>
                <w:rFonts w:ascii="Arial" w:cs="Arial" w:eastAsia="Arial" w:hAnsi="Arial"/>
                <w:color w:val="1A1A1A"/>
                <w:sz w:val="20"/>
                <w:szCs w:val="20"/>
              </w:rPr>
              <w:t xml:space="preserve">The BRD includes agent commission tracking but has no metrics designed for fraud detection or performance quality monitoring. Key metrics such as Conversion Rate per Agent, Average Booking Value per Agent, and Cancellation Rate per Agent are entirely absent. Without these, the TMC Admin has no systematic way to detect unusual patterns such as an agent making repeated bookings and immediately cancelling them (commission fraud), unusually high cancellation rates, or inflated booking values.</w:t>
            </w:r>
          </w:p>
          <w:p>
            <w:pPr>
              <w:spacing w:before="60" w:after="60"/>
            </w:pPr>
            <w:r>
              <w:rPr>
                <w:rFonts w:ascii="Arial" w:cs="Arial" w:eastAsia="Arial" w:hAnsi="Arial"/>
                <w:b/>
                <w:bCs/>
                <w:color w:val="2E75B6"/>
                <w:sz w:val="20"/>
                <w:szCs w:val="20"/>
              </w:rPr>
              <w:t xml:space="preserve">Proposed Solution</w:t>
            </w:r>
          </w:p>
          <w:p>
            <w:pPr>
              <w:spacing w:before="0" w:after="100"/>
            </w:pPr>
            <w:r>
              <w:rPr>
                <w:rFonts w:ascii="Arial" w:cs="Arial" w:eastAsia="Arial" w:hAnsi="Arial"/>
                <w:color w:val="1A1A1A"/>
                <w:sz w:val="20"/>
                <w:szCs w:val="20"/>
              </w:rPr>
              <w:t xml:space="preserve">Introduce an Agent Performance Analytics dashboard visible to TMC Admin and Super Admin - Operations. Include key KPIs with configurable alert thresholds so that anomalies trigger automatic notifications.</w:t>
            </w:r>
          </w:p>
          <w:p>
            <w:pPr>
              <w:spacing w:before="60" w:after="60"/>
            </w:pPr>
            <w:r>
              <w:rPr>
                <w:rFonts w:ascii="Arial" w:cs="Arial" w:eastAsia="Arial" w:hAnsi="Arial"/>
                <w:b/>
                <w:bCs/>
                <w:color w:val="2E75B6"/>
                <w:sz w:val="20"/>
                <w:szCs w:val="20"/>
              </w:rPr>
              <w:t xml:space="preserve">Implementation Steps</w:t>
            </w:r>
          </w:p>
          <w:p>
            <w:pPr>
              <w:pStyle w:val="ListParagraph"/>
              <w:numPr>
                <w:ilvl w:val="0"/>
                <w:numId w:val="2"/>
              </w:numPr>
              <w:spacing w:before="40" w:after="40"/>
            </w:pPr>
            <w:r>
              <w:rPr>
                <w:rFonts w:ascii="Arial" w:cs="Arial" w:eastAsia="Arial" w:hAnsi="Arial"/>
                <w:color w:val="1A1A1A"/>
                <w:sz w:val="20"/>
                <w:szCs w:val="20"/>
              </w:rPr>
              <w:t xml:space="preserve">Add an 'Agent Performance' tab on the TMC Admin dashboard with the following per-agent metrics: (1) Conversion Rate = Confirmed Bookings / Total Search Sessions, (2) Average Booking Value, (3) Cancellation Rate = Cancelled Bookings / Total Bookings, (4) Commission Earned (gross and net), (5) Bookings by Service Type.</w:t>
            </w:r>
          </w:p>
          <w:p>
            <w:pPr>
              <w:pStyle w:val="ListParagraph"/>
              <w:numPr>
                <w:ilvl w:val="0"/>
                <w:numId w:val="2"/>
              </w:numPr>
              <w:spacing w:before="40" w:after="40"/>
            </w:pPr>
            <w:r>
              <w:rPr>
                <w:rFonts w:ascii="Arial" w:cs="Arial" w:eastAsia="Arial" w:hAnsi="Arial"/>
                <w:color w:val="1A1A1A"/>
                <w:sz w:val="20"/>
                <w:szCs w:val="20"/>
              </w:rPr>
              <w:t xml:space="preserve">Allow TMC Admin to set alert thresholds: e.g., 'Alert me if any agent's cancellation rate exceeds 20% in a 7-day window'.</w:t>
            </w:r>
          </w:p>
          <w:p>
            <w:pPr>
              <w:pStyle w:val="ListParagraph"/>
              <w:numPr>
                <w:ilvl w:val="0"/>
                <w:numId w:val="2"/>
              </w:numPr>
              <w:spacing w:before="40" w:after="40"/>
            </w:pPr>
            <w:r>
              <w:rPr>
                <w:rFonts w:ascii="Arial" w:cs="Arial" w:eastAsia="Arial" w:hAnsi="Arial"/>
                <w:color w:val="1A1A1A"/>
                <w:sz w:val="20"/>
                <w:szCs w:val="20"/>
              </w:rPr>
              <w:t xml:space="preserve">Auto-flag agents whose cancellation rate exceeds the threshold — flagged agents appear with a warning badge on the TMC Admin's user management screen.</w:t>
            </w:r>
          </w:p>
          <w:p>
            <w:pPr>
              <w:pStyle w:val="ListParagraph"/>
              <w:numPr>
                <w:ilvl w:val="0"/>
                <w:numId w:val="2"/>
              </w:numPr>
              <w:spacing w:before="40" w:after="40"/>
            </w:pPr>
            <w:r>
              <w:rPr>
                <w:rFonts w:ascii="Arial" w:cs="Arial" w:eastAsia="Arial" w:hAnsi="Arial"/>
                <w:color w:val="1A1A1A"/>
                <w:sz w:val="20"/>
                <w:szCs w:val="20"/>
              </w:rPr>
              <w:t xml:space="preserve">Add a 'Suspicious Activity' section to the Super Admin - Operations dashboard that aggregates cross-TMC anomalies (e.g., an agent that books and cancels repeatedly within 24 hours).</w:t>
            </w:r>
          </w:p>
          <w:p>
            <w:pPr>
              <w:pStyle w:val="ListParagraph"/>
              <w:numPr>
                <w:ilvl w:val="0"/>
                <w:numId w:val="2"/>
              </w:numPr>
              <w:spacing w:before="40" w:after="40"/>
            </w:pPr>
            <w:r>
              <w:rPr>
                <w:rFonts w:ascii="Arial" w:cs="Arial" w:eastAsia="Arial" w:hAnsi="Arial"/>
                <w:color w:val="1A1A1A"/>
                <w:sz w:val="20"/>
                <w:szCs w:val="20"/>
              </w:rPr>
              <w:t xml:space="preserve">Log all booking and cancellation events with timestamps and agent IDs in the audit trail.</w:t>
            </w:r>
          </w:p>
          <w:p>
            <w:pPr>
              <w:pStyle w:val="ListParagraph"/>
              <w:numPr>
                <w:ilvl w:val="0"/>
                <w:numId w:val="2"/>
              </w:numPr>
              <w:spacing w:before="40" w:after="40"/>
            </w:pPr>
            <w:r>
              <w:rPr>
                <w:rFonts w:ascii="Arial" w:cs="Arial" w:eastAsia="Arial" w:hAnsi="Arial"/>
                <w:color w:val="1A1A1A"/>
                <w:sz w:val="20"/>
                <w:szCs w:val="20"/>
              </w:rPr>
              <w:t xml:space="preserve">Create a monthly 'Agent Performance Report' that TMC Admin can download as PDF or Excel.</w:t>
            </w:r>
          </w:p>
          <w:p>
            <w:pPr>
              <w:pStyle w:val="ListParagraph"/>
              <w:numPr>
                <w:ilvl w:val="0"/>
                <w:numId w:val="2"/>
              </w:numPr>
              <w:spacing w:before="40" w:after="40"/>
            </w:pPr>
            <w:r>
              <w:rPr>
                <w:rFonts w:ascii="Arial" w:cs="Arial" w:eastAsia="Arial" w:hAnsi="Arial"/>
                <w:color w:val="1A1A1A"/>
                <w:sz w:val="20"/>
                <w:szCs w:val="20"/>
              </w:rPr>
              <w:t xml:space="preserve">Phase 2: Implement an automated fraud scoring model where repeated book-cancel patterns within a short window temporarily suspend an agent's booking rights pending TMC Admin review.</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960"/>
        <w:gridCol w:w="1800"/>
      </w:tblGrid>
      <w:tr>
        <w:tc>
          <w:tcPr>
            <w:tcW w:type="dxa" w:w="9360"/>
            <w:gridSpan w:val="4"/>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4"/>
                <w:szCs w:val="24"/>
              </w:rPr>
              <w:t xml:space="preserve">GAP-05 — No Automation for Delayed Trips and Cancellation Estimates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95959"/>
                <w:sz w:val="18"/>
                <w:szCs w:val="18"/>
              </w:rPr>
              <w:t xml:space="preserve">Severity</w:t>
            </w:r>
          </w:p>
          <w:p>
            <w:r>
              <w:rPr>
                <w:rFonts w:ascii="Arial" w:cs="Arial" w:eastAsia="Arial" w:hAnsi="Arial"/>
                <w:b/>
                <w:bCs/>
                <w:color w:val="2E75B6"/>
                <w:sz w:val="20"/>
                <w:szCs w:val="20"/>
              </w:rPr>
              <w:t xml:space="preserve">High</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95959"/>
                <w:sz w:val="18"/>
                <w:szCs w:val="18"/>
              </w:rPr>
              <w:t xml:space="preserve">Module</w:t>
            </w:r>
          </w:p>
          <w:p>
            <w:r>
              <w:rPr>
                <w:rFonts w:ascii="Arial" w:cs="Arial" w:eastAsia="Arial" w:hAnsi="Arial"/>
                <w:color w:val="1A1A1A"/>
                <w:sz w:val="20"/>
                <w:szCs w:val="20"/>
              </w:rPr>
              <w:t xml:space="preserve">Operations / Notifications</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95959"/>
                <w:sz w:val="18"/>
                <w:szCs w:val="18"/>
              </w:rPr>
              <w:t xml:space="preserve">Owner / Role</w:t>
            </w:r>
          </w:p>
          <w:p>
            <w:r>
              <w:rPr>
                <w:rFonts w:ascii="Arial" w:cs="Arial" w:eastAsia="Arial" w:hAnsi="Arial"/>
                <w:color w:val="1A1A1A"/>
                <w:sz w:val="20"/>
                <w:szCs w:val="20"/>
              </w:rPr>
              <w:t xml:space="preserve">Operations Team, Engineering, TMC Support Agent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95959"/>
                <w:sz w:val="18"/>
                <w:szCs w:val="18"/>
              </w:rPr>
              <w:t xml:space="preserve">Phase</w:t>
            </w:r>
          </w:p>
          <w:p>
            <w:r>
              <w:rPr>
                <w:rFonts w:ascii="Arial" w:cs="Arial" w:eastAsia="Arial" w:hAnsi="Arial"/>
                <w:color w:val="1A1A1A"/>
                <w:sz w:val="20"/>
                <w:szCs w:val="20"/>
              </w:rPr>
              <w:t xml:space="preserve">Phase 1–2</w:t>
            </w:r>
          </w:p>
        </w:tc>
      </w:tr>
      <w:tr>
        <w:tc>
          <w:tcPr>
            <w:tcW w:type="dxa" w:w="9360"/>
            <w:gridSpan w:val="4"/>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before="60" w:after="60"/>
            </w:pPr>
            <w:r>
              <w:rPr>
                <w:rFonts w:ascii="Arial" w:cs="Arial" w:eastAsia="Arial" w:hAnsi="Arial"/>
                <w:b/>
                <w:bCs/>
                <w:color w:val="2E75B6"/>
                <w:sz w:val="20"/>
                <w:szCs w:val="20"/>
              </w:rPr>
              <w:t xml:space="preserve">Problem Statement</w:t>
            </w:r>
          </w:p>
          <w:p>
            <w:pPr>
              <w:spacing w:before="0" w:after="100"/>
            </w:pPr>
            <w:r>
              <w:rPr>
                <w:rFonts w:ascii="Arial" w:cs="Arial" w:eastAsia="Arial" w:hAnsi="Arial"/>
                <w:color w:val="1A1A1A"/>
                <w:sz w:val="20"/>
                <w:szCs w:val="20"/>
              </w:rPr>
              <w:t xml:space="preserve">The BRD mentions that the cab module tracks flight status and drivers adjust for delays, but there is no automated workflow defined for what happens when a flight is significantly delayed or cancelled. For hotels, there is no automated re-evaluation of cancellation windows when a connected flight is delayed. TMC agents and support staff are expected to handle these situations manually — which is impossible at scale and creates significant financial risk (e.g., a no-show hotel penalty because the agent was not informed in time).</w:t>
            </w:r>
          </w:p>
          <w:p>
            <w:pPr>
              <w:spacing w:before="60" w:after="60"/>
            </w:pPr>
            <w:r>
              <w:rPr>
                <w:rFonts w:ascii="Arial" w:cs="Arial" w:eastAsia="Arial" w:hAnsi="Arial"/>
                <w:b/>
                <w:bCs/>
                <w:color w:val="2E75B6"/>
                <w:sz w:val="20"/>
                <w:szCs w:val="20"/>
              </w:rPr>
              <w:t xml:space="preserve">Proposed Solution</w:t>
            </w:r>
          </w:p>
          <w:p>
            <w:pPr>
              <w:spacing w:before="0" w:after="100"/>
            </w:pPr>
            <w:r>
              <w:rPr>
                <w:rFonts w:ascii="Arial" w:cs="Arial" w:eastAsia="Arial" w:hAnsi="Arial"/>
                <w:color w:val="1A1A1A"/>
                <w:sz w:val="20"/>
                <w:szCs w:val="20"/>
              </w:rPr>
              <w:t xml:space="preserve">Build an Automated Disruption Management System that monitors live flight status for all upcoming bookings, detects delays or cancellations, and triggers pre-defined automated actions and notifications.</w:t>
            </w:r>
          </w:p>
          <w:p>
            <w:pPr>
              <w:spacing w:before="60" w:after="60"/>
            </w:pPr>
            <w:r>
              <w:rPr>
                <w:rFonts w:ascii="Arial" w:cs="Arial" w:eastAsia="Arial" w:hAnsi="Arial"/>
                <w:b/>
                <w:bCs/>
                <w:color w:val="2E75B6"/>
                <w:sz w:val="20"/>
                <w:szCs w:val="20"/>
              </w:rPr>
              <w:t xml:space="preserve">Implementation Steps</w:t>
            </w:r>
          </w:p>
          <w:p>
            <w:pPr>
              <w:pStyle w:val="ListParagraph"/>
              <w:numPr>
                <w:ilvl w:val="0"/>
                <w:numId w:val="2"/>
              </w:numPr>
              <w:spacing w:before="40" w:after="40"/>
            </w:pPr>
            <w:r>
              <w:rPr>
                <w:rFonts w:ascii="Arial" w:cs="Arial" w:eastAsia="Arial" w:hAnsi="Arial"/>
                <w:color w:val="1A1A1A"/>
                <w:sz w:val="20"/>
                <w:szCs w:val="20"/>
              </w:rPr>
              <w:t xml:space="preserve">Integrate a real-time flight status API (e.g., FlightAware, OAG, or Amadeus Flight Status) that is polled for all bookings with travel dates within the next 48 hours.</w:t>
            </w:r>
          </w:p>
          <w:p>
            <w:pPr>
              <w:pStyle w:val="ListParagraph"/>
              <w:numPr>
                <w:ilvl w:val="0"/>
                <w:numId w:val="2"/>
              </w:numPr>
              <w:spacing w:before="40" w:after="40"/>
            </w:pPr>
            <w:r>
              <w:rPr>
                <w:rFonts w:ascii="Arial" w:cs="Arial" w:eastAsia="Arial" w:hAnsi="Arial"/>
                <w:color w:val="1A1A1A"/>
                <w:sz w:val="20"/>
                <w:szCs w:val="20"/>
              </w:rPr>
              <w:t xml:space="preserve">When a flight delay is detected: automatically push a notification to the TMC Support Agent and TMC Admin, update the linked cab booking's expected pickup time, and check if the hotel cancellation window is now at risk.</w:t>
            </w:r>
          </w:p>
          <w:p>
            <w:pPr>
              <w:pStyle w:val="ListParagraph"/>
              <w:numPr>
                <w:ilvl w:val="0"/>
                <w:numId w:val="2"/>
              </w:numPr>
              <w:spacing w:before="40" w:after="40"/>
            </w:pPr>
            <w:r>
              <w:rPr>
                <w:rFonts w:ascii="Arial" w:cs="Arial" w:eastAsia="Arial" w:hAnsi="Arial"/>
                <w:color w:val="1A1A1A"/>
                <w:sz w:val="20"/>
                <w:szCs w:val="20"/>
              </w:rPr>
              <w:t xml:space="preserve">When a flight is cancelled: auto-create a support ticket with priority 'Critical', notify the TMC Admin, pause the hotel cancellation clock if within a free-cancellation window, and suggest rebooking alternatives.</w:t>
            </w:r>
          </w:p>
          <w:p>
            <w:pPr>
              <w:pStyle w:val="ListParagraph"/>
              <w:numPr>
                <w:ilvl w:val="0"/>
                <w:numId w:val="2"/>
              </w:numPr>
              <w:spacing w:before="40" w:after="40"/>
            </w:pPr>
            <w:r>
              <w:rPr>
                <w:rFonts w:ascii="Arial" w:cs="Arial" w:eastAsia="Arial" w:hAnsi="Arial"/>
                <w:color w:val="1A1A1A"/>
                <w:sz w:val="20"/>
                <w:szCs w:val="20"/>
              </w:rPr>
              <w:t xml:space="preserve">Build a 'Disruption Dashboard' for TMC Support Agents: a real-time view of all upcoming bookings that are affected by flight delays or cancellations.</w:t>
            </w:r>
          </w:p>
          <w:p>
            <w:pPr>
              <w:pStyle w:val="ListParagraph"/>
              <w:numPr>
                <w:ilvl w:val="0"/>
                <w:numId w:val="2"/>
              </w:numPr>
              <w:spacing w:before="40" w:after="40"/>
            </w:pPr>
            <w:r>
              <w:rPr>
                <w:rFonts w:ascii="Arial" w:cs="Arial" w:eastAsia="Arial" w:hAnsi="Arial"/>
                <w:color w:val="1A1A1A"/>
                <w:sz w:val="20"/>
                <w:szCs w:val="20"/>
              </w:rPr>
              <w:t xml:space="preserve">Define automated cancellation estimate recalculation: if a passenger's flight is delayed and they will miss hotel check-in, calculate the estimated penalty based on the hotel's no-show policy and surface it to the agent.</w:t>
            </w:r>
          </w:p>
          <w:p>
            <w:pPr>
              <w:pStyle w:val="ListParagraph"/>
              <w:numPr>
                <w:ilvl w:val="0"/>
                <w:numId w:val="2"/>
              </w:numPr>
              <w:spacing w:before="40" w:after="40"/>
            </w:pPr>
            <w:r>
              <w:rPr>
                <w:rFonts w:ascii="Arial" w:cs="Arial" w:eastAsia="Arial" w:hAnsi="Arial"/>
                <w:color w:val="1A1A1A"/>
                <w:sz w:val="20"/>
                <w:szCs w:val="20"/>
              </w:rPr>
              <w:t xml:space="preserve">For cabs: automatically notify the driver and passenger with the updated pickup time when a flight delay is confirmed; no manual intervention needed for delays under 3 hours.</w:t>
            </w:r>
          </w:p>
          <w:p>
            <w:pPr>
              <w:pStyle w:val="ListParagraph"/>
              <w:numPr>
                <w:ilvl w:val="0"/>
                <w:numId w:val="2"/>
              </w:numPr>
              <w:spacing w:before="40" w:after="40"/>
            </w:pPr>
            <w:r>
              <w:rPr>
                <w:rFonts w:ascii="Arial" w:cs="Arial" w:eastAsia="Arial" w:hAnsi="Arial"/>
                <w:color w:val="1A1A1A"/>
                <w:sz w:val="20"/>
                <w:szCs w:val="20"/>
              </w:rPr>
              <w:t xml:space="preserve">Add user preferences: TMC Admin can configure what level of delay triggers automation (e.g., delays over 90 minutes).</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960"/>
        <w:gridCol w:w="1800"/>
      </w:tblGrid>
      <w:tr>
        <w:tc>
          <w:tcPr>
            <w:tcW w:type="dxa" w:w="9360"/>
            <w:gridSpan w:val="4"/>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4"/>
                <w:szCs w:val="24"/>
              </w:rPr>
              <w:t xml:space="preserve">GAP-06 — Booking Agent Cannot Modify Bookings — No Emergency Override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95959"/>
                <w:sz w:val="18"/>
                <w:szCs w:val="18"/>
              </w:rPr>
              <w:t xml:space="preserve">Severity</w:t>
            </w:r>
          </w:p>
          <w:p>
            <w:r>
              <w:rPr>
                <w:rFonts w:ascii="Arial" w:cs="Arial" w:eastAsia="Arial" w:hAnsi="Arial"/>
                <w:b/>
                <w:bCs/>
                <w:color w:val="C05900"/>
                <w:sz w:val="20"/>
                <w:szCs w:val="20"/>
              </w:rPr>
              <w:t xml:space="preserve">Critical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95959"/>
                <w:sz w:val="18"/>
                <w:szCs w:val="18"/>
              </w:rPr>
              <w:t xml:space="preserve">Module</w:t>
            </w:r>
          </w:p>
          <w:p>
            <w:r>
              <w:rPr>
                <w:rFonts w:ascii="Arial" w:cs="Arial" w:eastAsia="Arial" w:hAnsi="Arial"/>
                <w:color w:val="1A1A1A"/>
                <w:sz w:val="20"/>
                <w:szCs w:val="20"/>
              </w:rPr>
              <w:t xml:space="preserve">Roles &amp; Access Control</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95959"/>
                <w:sz w:val="18"/>
                <w:szCs w:val="18"/>
              </w:rPr>
              <w:t xml:space="preserve">Owner / Role</w:t>
            </w:r>
          </w:p>
          <w:p>
            <w:r>
              <w:rPr>
                <w:rFonts w:ascii="Arial" w:cs="Arial" w:eastAsia="Arial" w:hAnsi="Arial"/>
                <w:color w:val="1A1A1A"/>
                <w:sz w:val="20"/>
                <w:szCs w:val="20"/>
              </w:rPr>
              <w:t xml:space="preserve">TMC Booking Agent, TMC Admin, Engineering</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95959"/>
                <w:sz w:val="18"/>
                <w:szCs w:val="18"/>
              </w:rPr>
              <w:t xml:space="preserve">Phase</w:t>
            </w:r>
          </w:p>
          <w:p>
            <w:r>
              <w:rPr>
                <w:rFonts w:ascii="Arial" w:cs="Arial" w:eastAsia="Arial" w:hAnsi="Arial"/>
                <w:color w:val="1A1A1A"/>
                <w:sz w:val="20"/>
                <w:szCs w:val="20"/>
              </w:rPr>
              <w:t xml:space="preserve">Phase 1–2</w:t>
            </w:r>
          </w:p>
        </w:tc>
      </w:tr>
      <w:tr>
        <w:tc>
          <w:tcPr>
            <w:tcW w:type="dxa" w:w="9360"/>
            <w:gridSpan w:val="4"/>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before="60" w:after="60"/>
            </w:pPr>
            <w:r>
              <w:rPr>
                <w:rFonts w:ascii="Arial" w:cs="Arial" w:eastAsia="Arial" w:hAnsi="Arial"/>
                <w:b/>
                <w:bCs/>
                <w:color w:val="2E75B6"/>
                <w:sz w:val="20"/>
                <w:szCs w:val="20"/>
              </w:rPr>
              <w:t xml:space="preserve">Problem Statement</w:t>
            </w:r>
          </w:p>
          <w:p>
            <w:pPr>
              <w:spacing w:before="0" w:after="100"/>
            </w:pPr>
            <w:r>
              <w:rPr>
                <w:rFonts w:ascii="Arial" w:cs="Arial" w:eastAsia="Arial" w:hAnsi="Arial"/>
                <w:color w:val="1A1A1A"/>
                <w:sz w:val="20"/>
                <w:szCs w:val="20"/>
              </w:rPr>
              <w:t xml:space="preserve">The BRD explicitly states that TMC Booking Agents cannot modify or cancel bookings after creation — they must route through TMC Admin or Support Agent. However, there is no contingency defined for when the TMC Admin is unavailable (out of office, sick, timezone difference, etc.) and an urgent modification is required (e.g., a passenger's name needs correction before a flight, or a cab pickup time must change due to a flight delay). This creates a hard operational blocker.</w:t>
            </w:r>
          </w:p>
          <w:p>
            <w:pPr>
              <w:spacing w:before="60" w:after="60"/>
            </w:pPr>
            <w:r>
              <w:rPr>
                <w:rFonts w:ascii="Arial" w:cs="Arial" w:eastAsia="Arial" w:hAnsi="Arial"/>
                <w:b/>
                <w:bCs/>
                <w:color w:val="2E75B6"/>
                <w:sz w:val="20"/>
                <w:szCs w:val="20"/>
              </w:rPr>
              <w:t xml:space="preserve">Proposed Solution</w:t>
            </w:r>
          </w:p>
          <w:p>
            <w:pPr>
              <w:spacing w:before="0" w:after="100"/>
            </w:pPr>
            <w:r>
              <w:rPr>
                <w:rFonts w:ascii="Arial" w:cs="Arial" w:eastAsia="Arial" w:hAnsi="Arial"/>
                <w:color w:val="1A1A1A"/>
                <w:sz w:val="20"/>
                <w:szCs w:val="20"/>
              </w:rPr>
              <w:t xml:space="preserve">Implement a time-limited, 2FA-gated Emergency Override mechanism that allows a Booking Agent to request and perform a single booking modification when no Admin or Support Agent is available. The override is logged, audited, and requires 2FA confirmation. It is limited to one use per 24-hour period per agent and applies only to non-financial modifications.</w:t>
            </w:r>
          </w:p>
          <w:p>
            <w:pPr>
              <w:spacing w:before="60" w:after="60"/>
            </w:pPr>
            <w:r>
              <w:rPr>
                <w:rFonts w:ascii="Arial" w:cs="Arial" w:eastAsia="Arial" w:hAnsi="Arial"/>
                <w:b/>
                <w:bCs/>
                <w:color w:val="2E75B6"/>
                <w:sz w:val="20"/>
                <w:szCs w:val="20"/>
              </w:rPr>
              <w:t xml:space="preserve">Implementation Steps</w:t>
            </w:r>
          </w:p>
          <w:p>
            <w:pPr>
              <w:pStyle w:val="ListParagraph"/>
              <w:numPr>
                <w:ilvl w:val="0"/>
                <w:numId w:val="2"/>
              </w:numPr>
              <w:spacing w:before="40" w:after="40"/>
            </w:pPr>
            <w:r>
              <w:rPr>
                <w:rFonts w:ascii="Arial" w:cs="Arial" w:eastAsia="Arial" w:hAnsi="Arial"/>
                <w:color w:val="1A1A1A"/>
                <w:sz w:val="20"/>
                <w:szCs w:val="20"/>
              </w:rPr>
              <w:t xml:space="preserve">Add an 'Emergency Override' button on the booking detail page for Booking Agents, visible only when: (a) the booking has an upcoming travel date within 24 hours, and (b) no TMC Admin or Support Agent has been active in the last 4 hours.</w:t>
            </w:r>
          </w:p>
          <w:p>
            <w:pPr>
              <w:pStyle w:val="ListParagraph"/>
              <w:numPr>
                <w:ilvl w:val="0"/>
                <w:numId w:val="2"/>
              </w:numPr>
              <w:spacing w:before="40" w:after="40"/>
            </w:pPr>
            <w:r>
              <w:rPr>
                <w:rFonts w:ascii="Arial" w:cs="Arial" w:eastAsia="Arial" w:hAnsi="Arial"/>
                <w:color w:val="1A1A1A"/>
                <w:sz w:val="20"/>
                <w:szCs w:val="20"/>
              </w:rPr>
              <w:t xml:space="preserve">On clicking, the agent is prompted to enter a reason and their 2FA code (OTP via SMS or authenticator app).</w:t>
            </w:r>
          </w:p>
          <w:p>
            <w:pPr>
              <w:pStyle w:val="ListParagraph"/>
              <w:numPr>
                <w:ilvl w:val="0"/>
                <w:numId w:val="2"/>
              </w:numPr>
              <w:spacing w:before="40" w:after="40"/>
            </w:pPr>
            <w:r>
              <w:rPr>
                <w:rFonts w:ascii="Arial" w:cs="Arial" w:eastAsia="Arial" w:hAnsi="Arial"/>
                <w:color w:val="1A1A1A"/>
                <w:sz w:val="20"/>
                <w:szCs w:val="20"/>
              </w:rPr>
              <w:t xml:space="preserve">On 2FA success, the agent is granted a 15-minute modification window for that specific booking only. They can perform non-financial modifications: name corrections, pickup time changes, meal updates, seat changes.</w:t>
            </w:r>
          </w:p>
          <w:p>
            <w:pPr>
              <w:pStyle w:val="ListParagraph"/>
              <w:numPr>
                <w:ilvl w:val="0"/>
                <w:numId w:val="2"/>
              </w:numPr>
              <w:spacing w:before="40" w:after="40"/>
            </w:pPr>
            <w:r>
              <w:rPr>
                <w:rFonts w:ascii="Arial" w:cs="Arial" w:eastAsia="Arial" w:hAnsi="Arial"/>
                <w:color w:val="1A1A1A"/>
                <w:sz w:val="20"/>
                <w:szCs w:val="20"/>
              </w:rPr>
              <w:t xml:space="preserve">Financial modifications (cancellations, refund initiations, fare upgrades) remain blocked even with override.</w:t>
            </w:r>
          </w:p>
          <w:p>
            <w:pPr>
              <w:pStyle w:val="ListParagraph"/>
              <w:numPr>
                <w:ilvl w:val="0"/>
                <w:numId w:val="2"/>
              </w:numPr>
              <w:spacing w:before="40" w:after="40"/>
            </w:pPr>
            <w:r>
              <w:rPr>
                <w:rFonts w:ascii="Arial" w:cs="Arial" w:eastAsia="Arial" w:hAnsi="Arial"/>
                <w:color w:val="1A1A1A"/>
                <w:sz w:val="20"/>
                <w:szCs w:val="20"/>
              </w:rPr>
              <w:t xml:space="preserve">Every override is logged in the audit trail with: agent ID, timestamp, 2FA method, modification made, and reason provided.</w:t>
            </w:r>
          </w:p>
          <w:p>
            <w:pPr>
              <w:pStyle w:val="ListParagraph"/>
              <w:numPr>
                <w:ilvl w:val="0"/>
                <w:numId w:val="2"/>
              </w:numPr>
              <w:spacing w:before="40" w:after="40"/>
            </w:pPr>
            <w:r>
              <w:rPr>
                <w:rFonts w:ascii="Arial" w:cs="Arial" w:eastAsia="Arial" w:hAnsi="Arial"/>
                <w:color w:val="1A1A1A"/>
                <w:sz w:val="20"/>
                <w:szCs w:val="20"/>
              </w:rPr>
              <w:t xml:space="preserve">TMC Admin receives an email/SMS alert immediately after an override is used.</w:t>
            </w:r>
          </w:p>
          <w:p>
            <w:pPr>
              <w:pStyle w:val="ListParagraph"/>
              <w:numPr>
                <w:ilvl w:val="0"/>
                <w:numId w:val="2"/>
              </w:numPr>
              <w:spacing w:before="40" w:after="40"/>
            </w:pPr>
            <w:r>
              <w:rPr>
                <w:rFonts w:ascii="Arial" w:cs="Arial" w:eastAsia="Arial" w:hAnsi="Arial"/>
                <w:color w:val="1A1A1A"/>
                <w:sz w:val="20"/>
                <w:szCs w:val="20"/>
              </w:rPr>
              <w:t xml:space="preserve">A maximum of 1 override per booking and 3 overrides per agent per month is enforced. Additional overrides require TMC Admin to grant an exception.</w:t>
            </w:r>
          </w:p>
          <w:p>
            <w:pPr>
              <w:pStyle w:val="ListParagraph"/>
              <w:numPr>
                <w:ilvl w:val="0"/>
                <w:numId w:val="2"/>
              </w:numPr>
              <w:spacing w:before="40" w:after="40"/>
            </w:pPr>
            <w:r>
              <w:rPr>
                <w:rFonts w:ascii="Arial" w:cs="Arial" w:eastAsia="Arial" w:hAnsi="Arial"/>
                <w:color w:val="1A1A1A"/>
                <w:sz w:val="20"/>
                <w:szCs w:val="20"/>
              </w:rPr>
              <w:t xml:space="preserve">Super Admin - Operations can view all override events across the platform in the audit log.</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960"/>
        <w:gridCol w:w="1800"/>
      </w:tblGrid>
      <w:tr>
        <w:tc>
          <w:tcPr>
            <w:tcW w:type="dxa" w:w="9360"/>
            <w:gridSpan w:val="4"/>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4"/>
                <w:szCs w:val="24"/>
              </w:rPr>
              <w:t xml:space="preserve">GAP-07 — No Traventions-Level Support Agent for TMC Platform Queries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95959"/>
                <w:sz w:val="18"/>
                <w:szCs w:val="18"/>
              </w:rPr>
              <w:t xml:space="preserve">Severity</w:t>
            </w:r>
          </w:p>
          <w:p>
            <w:r>
              <w:rPr>
                <w:rFonts w:ascii="Arial" w:cs="Arial" w:eastAsia="Arial" w:hAnsi="Arial"/>
                <w:b/>
                <w:bCs/>
                <w:color w:val="7F6000"/>
                <w:sz w:val="20"/>
                <w:szCs w:val="20"/>
              </w:rPr>
              <w:t xml:space="preserve">Medium</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95959"/>
                <w:sz w:val="18"/>
                <w:szCs w:val="18"/>
              </w:rPr>
              <w:t xml:space="preserve">Module</w:t>
            </w:r>
          </w:p>
          <w:p>
            <w:r>
              <w:rPr>
                <w:rFonts w:ascii="Arial" w:cs="Arial" w:eastAsia="Arial" w:hAnsi="Arial"/>
                <w:color w:val="1A1A1A"/>
                <w:sz w:val="20"/>
                <w:szCs w:val="20"/>
              </w:rPr>
              <w:t xml:space="preserve">Support / Platform Operations</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95959"/>
                <w:sz w:val="18"/>
                <w:szCs w:val="18"/>
              </w:rPr>
              <w:t xml:space="preserve">Owner / Role</w:t>
            </w:r>
          </w:p>
          <w:p>
            <w:r>
              <w:rPr>
                <w:rFonts w:ascii="Arial" w:cs="Arial" w:eastAsia="Arial" w:hAnsi="Arial"/>
                <w:color w:val="1A1A1A"/>
                <w:sz w:val="20"/>
                <w:szCs w:val="20"/>
              </w:rPr>
              <w:t xml:space="preserve">Super Admin - Operations, TMC Admin, Product Team</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95959"/>
                <w:sz w:val="18"/>
                <w:szCs w:val="18"/>
              </w:rPr>
              <w:t xml:space="preserve">Phase</w:t>
            </w:r>
          </w:p>
          <w:p>
            <w:r>
              <w:rPr>
                <w:rFonts w:ascii="Arial" w:cs="Arial" w:eastAsia="Arial" w:hAnsi="Arial"/>
                <w:color w:val="1A1A1A"/>
                <w:sz w:val="20"/>
                <w:szCs w:val="20"/>
              </w:rPr>
              <w:t xml:space="preserve">Phase 1–2</w:t>
            </w:r>
          </w:p>
        </w:tc>
      </w:tr>
      <w:tr>
        <w:tc>
          <w:tcPr>
            <w:tcW w:type="dxa" w:w="9360"/>
            <w:gridSpan w:val="4"/>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before="60" w:after="60"/>
            </w:pPr>
            <w:r>
              <w:rPr>
                <w:rFonts w:ascii="Arial" w:cs="Arial" w:eastAsia="Arial" w:hAnsi="Arial"/>
                <w:b/>
                <w:bCs/>
                <w:color w:val="2E75B6"/>
                <w:sz w:val="20"/>
                <w:szCs w:val="20"/>
              </w:rPr>
              <w:t xml:space="preserve">Problem Statement</w:t>
            </w:r>
          </w:p>
          <w:p>
            <w:pPr>
              <w:spacing w:before="0" w:after="100"/>
            </w:pPr>
            <w:r>
              <w:rPr>
                <w:rFonts w:ascii="Arial" w:cs="Arial" w:eastAsia="Arial" w:hAnsi="Arial"/>
                <w:color w:val="1A1A1A"/>
                <w:sz w:val="20"/>
                <w:szCs w:val="20"/>
              </w:rPr>
              <w:t xml:space="preserve">The BRD defines a TMC Support Agent role that handles queries from the TMC's own clients, and Super Admin - Operations handles escalations. However, there is no defined support channel for TMC Admins themselves when they have questions or issues with the Traventions platform — such as wallet top-up failures, commission structure confusion, KYC re-submission guidance, or onboarding questions. TMC Admins are expected to raise tickets, but who processes tickets raised by a TMC Admin about the platform itself is unclear.</w:t>
            </w:r>
          </w:p>
          <w:p>
            <w:pPr>
              <w:spacing w:before="60" w:after="60"/>
            </w:pPr>
            <w:r>
              <w:rPr>
                <w:rFonts w:ascii="Arial" w:cs="Arial" w:eastAsia="Arial" w:hAnsi="Arial"/>
                <w:b/>
                <w:bCs/>
                <w:color w:val="2E75B6"/>
                <w:sz w:val="20"/>
                <w:szCs w:val="20"/>
              </w:rPr>
              <w:t xml:space="preserve">Proposed Solution</w:t>
            </w:r>
          </w:p>
          <w:p>
            <w:pPr>
              <w:spacing w:before="0" w:after="100"/>
            </w:pPr>
            <w:r>
              <w:rPr>
                <w:rFonts w:ascii="Arial" w:cs="Arial" w:eastAsia="Arial" w:hAnsi="Arial"/>
                <w:color w:val="1A1A1A"/>
                <w:sz w:val="20"/>
                <w:szCs w:val="20"/>
              </w:rPr>
              <w:t xml:space="preserve">Define a Traventions Platform Support tier: a dedicated internal team (could be handled by Super Admin - Operations with a separate ticket queue) that specifically handles TMC Admin queries about the platform. A self-service knowledge base should also be created to reduce ticket volume.</w:t>
            </w:r>
          </w:p>
          <w:p>
            <w:pPr>
              <w:spacing w:before="60" w:after="60"/>
            </w:pPr>
            <w:r>
              <w:rPr>
                <w:rFonts w:ascii="Arial" w:cs="Arial" w:eastAsia="Arial" w:hAnsi="Arial"/>
                <w:b/>
                <w:bCs/>
                <w:color w:val="2E75B6"/>
                <w:sz w:val="20"/>
                <w:szCs w:val="20"/>
              </w:rPr>
              <w:t xml:space="preserve">Implementation Steps</w:t>
            </w:r>
          </w:p>
          <w:p>
            <w:pPr>
              <w:pStyle w:val="ListParagraph"/>
              <w:numPr>
                <w:ilvl w:val="0"/>
                <w:numId w:val="2"/>
              </w:numPr>
              <w:spacing w:before="40" w:after="40"/>
            </w:pPr>
            <w:r>
              <w:rPr>
                <w:rFonts w:ascii="Arial" w:cs="Arial" w:eastAsia="Arial" w:hAnsi="Arial"/>
                <w:color w:val="1A1A1A"/>
                <w:sz w:val="20"/>
                <w:szCs w:val="20"/>
              </w:rPr>
              <w:t xml:space="preserve">Create a dedicated 'Platform Support' ticket category visible to TMC Admins when raising a ticket — separate from client-facing support categories.</w:t>
            </w:r>
          </w:p>
          <w:p>
            <w:pPr>
              <w:pStyle w:val="ListParagraph"/>
              <w:numPr>
                <w:ilvl w:val="0"/>
                <w:numId w:val="2"/>
              </w:numPr>
              <w:spacing w:before="40" w:after="40"/>
            </w:pPr>
            <w:r>
              <w:rPr>
                <w:rFonts w:ascii="Arial" w:cs="Arial" w:eastAsia="Arial" w:hAnsi="Arial"/>
                <w:color w:val="1A1A1A"/>
                <w:sz w:val="20"/>
                <w:szCs w:val="20"/>
              </w:rPr>
              <w:t xml:space="preserve">Route all Platform Support tickets to a dedicated queue in the Super Admin - Operations dashboard, separate from escalated client tickets.</w:t>
            </w:r>
          </w:p>
          <w:p>
            <w:pPr>
              <w:pStyle w:val="ListParagraph"/>
              <w:numPr>
                <w:ilvl w:val="0"/>
                <w:numId w:val="2"/>
              </w:numPr>
              <w:spacing w:before="40" w:after="40"/>
            </w:pPr>
            <w:r>
              <w:rPr>
                <w:rFonts w:ascii="Arial" w:cs="Arial" w:eastAsia="Arial" w:hAnsi="Arial"/>
                <w:color w:val="1A1A1A"/>
                <w:sz w:val="20"/>
                <w:szCs w:val="20"/>
              </w:rPr>
              <w:t xml:space="preserve">Define SLAs for Platform Support: response within 4 hours, resolution within 24 hours for non-critical; response within 1 hour for critical (e.g., wallet failure, blocked account).</w:t>
            </w:r>
          </w:p>
          <w:p>
            <w:pPr>
              <w:pStyle w:val="ListParagraph"/>
              <w:numPr>
                <w:ilvl w:val="0"/>
                <w:numId w:val="2"/>
              </w:numPr>
              <w:spacing w:before="40" w:after="40"/>
            </w:pPr>
            <w:r>
              <w:rPr>
                <w:rFonts w:ascii="Arial" w:cs="Arial" w:eastAsia="Arial" w:hAnsi="Arial"/>
                <w:color w:val="1A1A1A"/>
                <w:sz w:val="20"/>
                <w:szCs w:val="20"/>
              </w:rPr>
              <w:t xml:space="preserve">Build a Traventions Knowledge Base / Help Centre: a searchable FAQ covering common TMC Admin questions (wallet recharge, commission structure, KYC docs, user management). Accessible from the TMC Admin dashboard.</w:t>
            </w:r>
          </w:p>
          <w:p>
            <w:pPr>
              <w:pStyle w:val="ListParagraph"/>
              <w:numPr>
                <w:ilvl w:val="0"/>
                <w:numId w:val="2"/>
              </w:numPr>
              <w:spacing w:before="40" w:after="40"/>
            </w:pPr>
            <w:r>
              <w:rPr>
                <w:rFonts w:ascii="Arial" w:cs="Arial" w:eastAsia="Arial" w:hAnsi="Arial"/>
                <w:color w:val="1A1A1A"/>
                <w:sz w:val="20"/>
                <w:szCs w:val="20"/>
              </w:rPr>
              <w:t xml:space="preserve">Add a 'Contact Traventions Support' button on the TMC Admin dashboard — pre-fills the ticket with the TMC's account details to reduce back-and-forth.</w:t>
            </w:r>
          </w:p>
          <w:p>
            <w:pPr>
              <w:pStyle w:val="ListParagraph"/>
              <w:numPr>
                <w:ilvl w:val="0"/>
                <w:numId w:val="2"/>
              </w:numPr>
              <w:spacing w:before="40" w:after="40"/>
            </w:pPr>
            <w:r>
              <w:rPr>
                <w:rFonts w:ascii="Arial" w:cs="Arial" w:eastAsia="Arial" w:hAnsi="Arial"/>
                <w:color w:val="1A1A1A"/>
                <w:sz w:val="20"/>
                <w:szCs w:val="20"/>
              </w:rPr>
              <w:t xml:space="preserve">Phase 2: Introduce a dedicated Traventions Account Manager feature: each TMC is assigned an account manager contact with direct reach via platform messaging.</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960"/>
        <w:gridCol w:w="1800"/>
      </w:tblGrid>
      <w:tr>
        <w:tc>
          <w:tcPr>
            <w:tcW w:type="dxa" w:w="9360"/>
            <w:gridSpan w:val="4"/>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4"/>
                <w:szCs w:val="24"/>
              </w:rPr>
              <w:t xml:space="preserve">GAP-08 — No Option to Add Ancillary Baggage After Booking is Confirmed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95959"/>
                <w:sz w:val="18"/>
                <w:szCs w:val="18"/>
              </w:rPr>
              <w:t xml:space="preserve">Severity</w:t>
            </w:r>
          </w:p>
          <w:p>
            <w:r>
              <w:rPr>
                <w:rFonts w:ascii="Arial" w:cs="Arial" w:eastAsia="Arial" w:hAnsi="Arial"/>
                <w:b/>
                <w:bCs/>
                <w:color w:val="7F6000"/>
                <w:sz w:val="20"/>
                <w:szCs w:val="20"/>
              </w:rPr>
              <w:t xml:space="preserve">Medium</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95959"/>
                <w:sz w:val="18"/>
                <w:szCs w:val="18"/>
              </w:rPr>
              <w:t xml:space="preserve">Module</w:t>
            </w:r>
          </w:p>
          <w:p>
            <w:r>
              <w:rPr>
                <w:rFonts w:ascii="Arial" w:cs="Arial" w:eastAsia="Arial" w:hAnsi="Arial"/>
                <w:color w:val="1A1A1A"/>
                <w:sz w:val="20"/>
                <w:szCs w:val="20"/>
              </w:rPr>
              <w:t xml:space="preserve">Flights Ancillaries</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95959"/>
                <w:sz w:val="18"/>
                <w:szCs w:val="18"/>
              </w:rPr>
              <w:t xml:space="preserve">Owner / Role</w:t>
            </w:r>
          </w:p>
          <w:p>
            <w:r>
              <w:rPr>
                <w:rFonts w:ascii="Arial" w:cs="Arial" w:eastAsia="Arial" w:hAnsi="Arial"/>
                <w:color w:val="1A1A1A"/>
                <w:sz w:val="20"/>
                <w:szCs w:val="20"/>
              </w:rPr>
              <w:t xml:space="preserve">TMC Booking Agent, TMC Admin, Engineering</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95959"/>
                <w:sz w:val="18"/>
                <w:szCs w:val="18"/>
              </w:rPr>
              <w:t xml:space="preserve">Phase</w:t>
            </w:r>
          </w:p>
          <w:p>
            <w:r>
              <w:rPr>
                <w:rFonts w:ascii="Arial" w:cs="Arial" w:eastAsia="Arial" w:hAnsi="Arial"/>
                <w:color w:val="1A1A1A"/>
                <w:sz w:val="20"/>
                <w:szCs w:val="20"/>
              </w:rPr>
              <w:t xml:space="preserve">Phase 1–2</w:t>
            </w:r>
          </w:p>
        </w:tc>
      </w:tr>
      <w:tr>
        <w:tc>
          <w:tcPr>
            <w:tcW w:type="dxa" w:w="9360"/>
            <w:gridSpan w:val="4"/>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before="60" w:after="60"/>
            </w:pPr>
            <w:r>
              <w:rPr>
                <w:rFonts w:ascii="Arial" w:cs="Arial" w:eastAsia="Arial" w:hAnsi="Arial"/>
                <w:b/>
                <w:bCs/>
                <w:color w:val="2E75B6"/>
                <w:sz w:val="20"/>
                <w:szCs w:val="20"/>
              </w:rPr>
              <w:t xml:space="preserve">Problem Statement</w:t>
            </w:r>
          </w:p>
          <w:p>
            <w:pPr>
              <w:spacing w:before="0" w:after="100"/>
            </w:pPr>
            <w:r>
              <w:rPr>
                <w:rFonts w:ascii="Arial" w:cs="Arial" w:eastAsia="Arial" w:hAnsi="Arial"/>
                <w:color w:val="1A1A1A"/>
                <w:sz w:val="20"/>
                <w:szCs w:val="20"/>
              </w:rPr>
              <w:t xml:space="preserve">The BRD details extra baggage options at the time of booking (5kg/$50, 10kg/$90, etc.). However, there is no mechanism described for adding baggage after the booking is confirmed and before check-in — which is a very common need. Airlines typically allow ancillary add-ons up to check-in cutoff time. Without this, TMC agents must manually contact airlines or use the airline's own website, breaking the platform's value as a one-stop booking management tool.</w:t>
            </w:r>
          </w:p>
          <w:p>
            <w:pPr>
              <w:spacing w:before="60" w:after="60"/>
            </w:pPr>
            <w:r>
              <w:rPr>
                <w:rFonts w:ascii="Arial" w:cs="Arial" w:eastAsia="Arial" w:hAnsi="Arial"/>
                <w:b/>
                <w:bCs/>
                <w:color w:val="2E75B6"/>
                <w:sz w:val="20"/>
                <w:szCs w:val="20"/>
              </w:rPr>
              <w:t xml:space="preserve">Proposed Solution</w:t>
            </w:r>
          </w:p>
          <w:p>
            <w:pPr>
              <w:spacing w:before="0" w:after="100"/>
            </w:pPr>
            <w:r>
              <w:rPr>
                <w:rFonts w:ascii="Arial" w:cs="Arial" w:eastAsia="Arial" w:hAnsi="Arial"/>
                <w:color w:val="1A1A1A"/>
                <w:sz w:val="20"/>
                <w:szCs w:val="20"/>
              </w:rPr>
              <w:t xml:space="preserve">Add a 'Manage Ancillaries' section on the confirmed booking detail page that allows adding extra baggage (and optionally seat upgrades and meal changes) post-booking, via the relevant GDS or NDC channel, up to the check-in cutoff time.</w:t>
            </w:r>
          </w:p>
          <w:p>
            <w:pPr>
              <w:spacing w:before="60" w:after="60"/>
            </w:pPr>
            <w:r>
              <w:rPr>
                <w:rFonts w:ascii="Arial" w:cs="Arial" w:eastAsia="Arial" w:hAnsi="Arial"/>
                <w:b/>
                <w:bCs/>
                <w:color w:val="2E75B6"/>
                <w:sz w:val="20"/>
                <w:szCs w:val="20"/>
              </w:rPr>
              <w:t xml:space="preserve">Implementation Steps</w:t>
            </w:r>
          </w:p>
          <w:p>
            <w:pPr>
              <w:pStyle w:val="ListParagraph"/>
              <w:numPr>
                <w:ilvl w:val="0"/>
                <w:numId w:val="2"/>
              </w:numPr>
              <w:spacing w:before="40" w:after="40"/>
            </w:pPr>
            <w:r>
              <w:rPr>
                <w:rFonts w:ascii="Arial" w:cs="Arial" w:eastAsia="Arial" w:hAnsi="Arial"/>
                <w:color w:val="1A1A1A"/>
                <w:sz w:val="20"/>
                <w:szCs w:val="20"/>
              </w:rPr>
              <w:t xml:space="preserve">Add a 'Manage Ancillaries' tab on the confirmed flight booking detail page — visible until 24 hours before departure (or airline's check-in cutoff, whichever is earlier).</w:t>
            </w:r>
          </w:p>
          <w:p>
            <w:pPr>
              <w:pStyle w:val="ListParagraph"/>
              <w:numPr>
                <w:ilvl w:val="0"/>
                <w:numId w:val="2"/>
              </w:numPr>
              <w:spacing w:before="40" w:after="40"/>
            </w:pPr>
            <w:r>
              <w:rPr>
                <w:rFonts w:ascii="Arial" w:cs="Arial" w:eastAsia="Arial" w:hAnsi="Arial"/>
                <w:color w:val="1A1A1A"/>
                <w:sz w:val="20"/>
                <w:szCs w:val="20"/>
              </w:rPr>
              <w:t xml:space="preserve">Available ancillaries in this section: Extra Checked Baggage (per segment, per passenger), Cabin Bag upgrade (where supported by airline), Meal change (if airline allows post-booking meal changes).</w:t>
            </w:r>
          </w:p>
          <w:p>
            <w:pPr>
              <w:pStyle w:val="ListParagraph"/>
              <w:numPr>
                <w:ilvl w:val="0"/>
                <w:numId w:val="2"/>
              </w:numPr>
              <w:spacing w:before="40" w:after="40"/>
            </w:pPr>
            <w:r>
              <w:rPr>
                <w:rFonts w:ascii="Arial" w:cs="Arial" w:eastAsia="Arial" w:hAnsi="Arial"/>
                <w:color w:val="1A1A1A"/>
                <w:sz w:val="20"/>
                <w:szCs w:val="20"/>
              </w:rPr>
              <w:t xml:space="preserve">Pull available ancillaries dynamically from the GDS/NDC for the specific booking and display with pricing.</w:t>
            </w:r>
          </w:p>
          <w:p>
            <w:pPr>
              <w:pStyle w:val="ListParagraph"/>
              <w:numPr>
                <w:ilvl w:val="0"/>
                <w:numId w:val="2"/>
              </w:numPr>
              <w:spacing w:before="40" w:after="40"/>
            </w:pPr>
            <w:r>
              <w:rPr>
                <w:rFonts w:ascii="Arial" w:cs="Arial" w:eastAsia="Arial" w:hAnsi="Arial"/>
                <w:color w:val="1A1A1A"/>
                <w:sz w:val="20"/>
                <w:szCs w:val="20"/>
              </w:rPr>
              <w:t xml:space="preserve">Payment for post-booking ancillaries is deducted from the TMC wallet immediately.</w:t>
            </w:r>
          </w:p>
          <w:p>
            <w:pPr>
              <w:pStyle w:val="ListParagraph"/>
              <w:numPr>
                <w:ilvl w:val="0"/>
                <w:numId w:val="2"/>
              </w:numPr>
              <w:spacing w:before="40" w:after="40"/>
            </w:pPr>
            <w:r>
              <w:rPr>
                <w:rFonts w:ascii="Arial" w:cs="Arial" w:eastAsia="Arial" w:hAnsi="Arial"/>
                <w:color w:val="1A1A1A"/>
                <w:sz w:val="20"/>
                <w:szCs w:val="20"/>
              </w:rPr>
              <w:t xml:space="preserve">A revised e-ticket / booking confirmation is emailed to the client with the updated ancillaries reflected.</w:t>
            </w:r>
          </w:p>
          <w:p>
            <w:pPr>
              <w:pStyle w:val="ListParagraph"/>
              <w:numPr>
                <w:ilvl w:val="0"/>
                <w:numId w:val="2"/>
              </w:numPr>
              <w:spacing w:before="40" w:after="40"/>
            </w:pPr>
            <w:r>
              <w:rPr>
                <w:rFonts w:ascii="Arial" w:cs="Arial" w:eastAsia="Arial" w:hAnsi="Arial"/>
                <w:color w:val="1A1A1A"/>
                <w:sz w:val="20"/>
                <w:szCs w:val="20"/>
              </w:rPr>
              <w:t xml:space="preserve">Log all post-booking ancillary additions in the booking history and generate an updated invoice.</w:t>
            </w:r>
          </w:p>
          <w:p>
            <w:pPr>
              <w:pStyle w:val="ListParagraph"/>
              <w:numPr>
                <w:ilvl w:val="0"/>
                <w:numId w:val="2"/>
              </w:numPr>
              <w:spacing w:before="40" w:after="40"/>
            </w:pPr>
            <w:r>
              <w:rPr>
                <w:rFonts w:ascii="Arial" w:cs="Arial" w:eastAsia="Arial" w:hAnsi="Arial"/>
                <w:color w:val="1A1A1A"/>
                <w:sz w:val="20"/>
                <w:szCs w:val="20"/>
              </w:rPr>
              <w:t xml:space="preserve">Display a clear message if the airline does not support post-booking ancillary additions via API — in this case, provide the airline's direct contact/website link as a fallback.</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960"/>
        <w:gridCol w:w="1800"/>
      </w:tblGrid>
      <w:tr>
        <w:tc>
          <w:tcPr>
            <w:tcW w:type="dxa" w:w="9360"/>
            <w:gridSpan w:val="4"/>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4"/>
                <w:szCs w:val="24"/>
              </w:rPr>
              <w:t xml:space="preserve">GAP-09 — Driver-to-TMC Owner Connection Flow Not Defined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95959"/>
                <w:sz w:val="18"/>
                <w:szCs w:val="18"/>
              </w:rPr>
              <w:t xml:space="preserve">Severity</w:t>
            </w:r>
          </w:p>
          <w:p>
            <w:r>
              <w:rPr>
                <w:rFonts w:ascii="Arial" w:cs="Arial" w:eastAsia="Arial" w:hAnsi="Arial"/>
                <w:b/>
                <w:bCs/>
                <w:color w:val="C05900"/>
                <w:sz w:val="20"/>
                <w:szCs w:val="20"/>
              </w:rPr>
              <w:t xml:space="preserve">Critical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95959"/>
                <w:sz w:val="18"/>
                <w:szCs w:val="18"/>
              </w:rPr>
              <w:t xml:space="preserve">Module</w:t>
            </w:r>
          </w:p>
          <w:p>
            <w:r>
              <w:rPr>
                <w:rFonts w:ascii="Arial" w:cs="Arial" w:eastAsia="Arial" w:hAnsi="Arial"/>
                <w:color w:val="1A1A1A"/>
                <w:sz w:val="20"/>
                <w:szCs w:val="20"/>
              </w:rPr>
              <w:t xml:space="preserve">Cabs Module</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95959"/>
                <w:sz w:val="18"/>
                <w:szCs w:val="18"/>
              </w:rPr>
              <w:t xml:space="preserve">Owner / Role</w:t>
            </w:r>
          </w:p>
          <w:p>
            <w:r>
              <w:rPr>
                <w:rFonts w:ascii="Arial" w:cs="Arial" w:eastAsia="Arial" w:hAnsi="Arial"/>
                <w:color w:val="1A1A1A"/>
                <w:sz w:val="20"/>
                <w:szCs w:val="20"/>
              </w:rPr>
              <w:t xml:space="preserve">Super Admin - Operations, Engineering, Business Development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95959"/>
                <w:sz w:val="18"/>
                <w:szCs w:val="18"/>
              </w:rPr>
              <w:t xml:space="preserve">Phase</w:t>
            </w:r>
          </w:p>
          <w:p>
            <w:r>
              <w:rPr>
                <w:rFonts w:ascii="Arial" w:cs="Arial" w:eastAsia="Arial" w:hAnsi="Arial"/>
                <w:color w:val="1A1A1A"/>
                <w:sz w:val="20"/>
                <w:szCs w:val="20"/>
              </w:rPr>
              <w:t xml:space="preserve">Phase 1–2</w:t>
            </w:r>
          </w:p>
        </w:tc>
      </w:tr>
      <w:tr>
        <w:tc>
          <w:tcPr>
            <w:tcW w:type="dxa" w:w="9360"/>
            <w:gridSpan w:val="4"/>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before="60" w:after="60"/>
            </w:pPr>
            <w:r>
              <w:rPr>
                <w:rFonts w:ascii="Arial" w:cs="Arial" w:eastAsia="Arial" w:hAnsi="Arial"/>
                <w:b/>
                <w:bCs/>
                <w:color w:val="2E75B6"/>
                <w:sz w:val="20"/>
                <w:szCs w:val="20"/>
              </w:rPr>
              <w:t xml:space="preserve">Problem Statement</w:t>
            </w:r>
          </w:p>
          <w:p>
            <w:pPr>
              <w:spacing w:before="0" w:after="100"/>
            </w:pPr>
            <w:r>
              <w:rPr>
                <w:rFonts w:ascii="Arial" w:cs="Arial" w:eastAsia="Arial" w:hAnsi="Arial"/>
                <w:color w:val="1A1A1A"/>
                <w:sz w:val="20"/>
                <w:szCs w:val="20"/>
              </w:rPr>
              <w:t xml:space="preserve">The Cabs module describes a rich booking experience — vehicle types, driver tracking, in-app chat, driver rating — but the BRD is entirely silent on how drivers are connected to the platform. Are drivers employees of the cab vendors? Are they independent contractors? How does Traventions source drivers? Is there a Driver Management Panel? How does a TMC know which cab supplier network to connect to? Who manages driver onboarding, vehicle documents, and insurance compliance? This is the largest undefined operational area in the entire BRD.</w:t>
            </w:r>
          </w:p>
          <w:p>
            <w:pPr>
              <w:spacing w:before="60" w:after="60"/>
            </w:pPr>
            <w:r>
              <w:rPr>
                <w:rFonts w:ascii="Arial" w:cs="Arial" w:eastAsia="Arial" w:hAnsi="Arial"/>
                <w:b/>
                <w:bCs/>
                <w:color w:val="2E75B6"/>
                <w:sz w:val="20"/>
                <w:szCs w:val="20"/>
              </w:rPr>
              <w:t xml:space="preserve">Proposed Solution</w:t>
            </w:r>
          </w:p>
          <w:p>
            <w:pPr>
              <w:spacing w:before="0" w:after="100"/>
            </w:pPr>
            <w:r>
              <w:rPr>
                <w:rFonts w:ascii="Arial" w:cs="Arial" w:eastAsia="Arial" w:hAnsi="Arial"/>
                <w:color w:val="1A1A1A"/>
                <w:sz w:val="20"/>
                <w:szCs w:val="20"/>
              </w:rPr>
              <w:t xml:space="preserve">Define the Cab Supply Chain model clearly and implement a Supplier/Driver Management layer. Traventions should operate on a B2B aggregator model for cabs — integrating with established cab API partners (e.g., Myles, Savaari, InDriver Enterprise, or direct hotel/airport transfer operators) rather than managing drivers directly.</w:t>
            </w:r>
          </w:p>
          <w:p>
            <w:pPr>
              <w:spacing w:before="60" w:after="60"/>
            </w:pPr>
            <w:r>
              <w:rPr>
                <w:rFonts w:ascii="Arial" w:cs="Arial" w:eastAsia="Arial" w:hAnsi="Arial"/>
                <w:b/>
                <w:bCs/>
                <w:color w:val="2E75B6"/>
                <w:sz w:val="20"/>
                <w:szCs w:val="20"/>
              </w:rPr>
              <w:t xml:space="preserve">Implementation Steps</w:t>
            </w:r>
          </w:p>
          <w:p>
            <w:pPr>
              <w:pStyle w:val="ListParagraph"/>
              <w:numPr>
                <w:ilvl w:val="0"/>
                <w:numId w:val="2"/>
              </w:numPr>
              <w:spacing w:before="40" w:after="40"/>
            </w:pPr>
            <w:r>
              <w:rPr>
                <w:rFonts w:ascii="Arial" w:cs="Arial" w:eastAsia="Arial" w:hAnsi="Arial"/>
                <w:color w:val="1A1A1A"/>
                <w:sz w:val="20"/>
                <w:szCs w:val="20"/>
              </w:rPr>
              <w:t xml:space="preserve">Define the business model decision: (a) Aggregate existing cab operator APIs (preferred for Phase 1 — lower operational complexity), or (b) Build a proprietary driver network (high complexity, defer to Phase 3+).</w:t>
            </w:r>
          </w:p>
          <w:p>
            <w:pPr>
              <w:pStyle w:val="ListParagraph"/>
              <w:numPr>
                <w:ilvl w:val="0"/>
                <w:numId w:val="2"/>
              </w:numPr>
              <w:spacing w:before="40" w:after="40"/>
            </w:pPr>
            <w:r>
              <w:rPr>
                <w:rFonts w:ascii="Arial" w:cs="Arial" w:eastAsia="Arial" w:hAnsi="Arial"/>
                <w:color w:val="1A1A1A"/>
                <w:sz w:val="20"/>
                <w:szCs w:val="20"/>
              </w:rPr>
              <w:t xml:space="preserve">If aggregating: integrate with at least 2 cab operator APIs. Build an abstraction layer so the booking flow is uniform regardless of underlying provider.</w:t>
            </w:r>
          </w:p>
          <w:p>
            <w:pPr>
              <w:pStyle w:val="ListParagraph"/>
              <w:numPr>
                <w:ilvl w:val="0"/>
                <w:numId w:val="2"/>
              </w:numPr>
              <w:spacing w:before="40" w:after="40"/>
            </w:pPr>
            <w:r>
              <w:rPr>
                <w:rFonts w:ascii="Arial" w:cs="Arial" w:eastAsia="Arial" w:hAnsi="Arial"/>
                <w:color w:val="1A1A1A"/>
                <w:sz w:val="20"/>
                <w:szCs w:val="20"/>
              </w:rPr>
              <w:t xml:space="preserve">If building a proprietary network: create a Cab Supplier / Operator onboarding portal where cab companies register, add their fleet, and manage driver profiles.</w:t>
            </w:r>
          </w:p>
          <w:p>
            <w:pPr>
              <w:pStyle w:val="ListParagraph"/>
              <w:numPr>
                <w:ilvl w:val="0"/>
                <w:numId w:val="2"/>
              </w:numPr>
              <w:spacing w:before="40" w:after="40"/>
            </w:pPr>
            <w:r>
              <w:rPr>
                <w:rFonts w:ascii="Arial" w:cs="Arial" w:eastAsia="Arial" w:hAnsi="Arial"/>
                <w:color w:val="1A1A1A"/>
                <w:sz w:val="20"/>
                <w:szCs w:val="20"/>
              </w:rPr>
              <w:t xml:space="preserve">Define a Driver profile schema: Name, Photo, Phone, License Number, Vehicle Registration, Insurance Expiry, Background Check Status, Rating.</w:t>
            </w:r>
          </w:p>
          <w:p>
            <w:pPr>
              <w:pStyle w:val="ListParagraph"/>
              <w:numPr>
                <w:ilvl w:val="0"/>
                <w:numId w:val="2"/>
              </w:numPr>
              <w:spacing w:before="40" w:after="40"/>
            </w:pPr>
            <w:r>
              <w:rPr>
                <w:rFonts w:ascii="Arial" w:cs="Arial" w:eastAsia="Arial" w:hAnsi="Arial"/>
                <w:color w:val="1A1A1A"/>
                <w:sz w:val="20"/>
                <w:szCs w:val="20"/>
              </w:rPr>
              <w:t xml:space="preserve">Define a Vehicle profile schema: Make, Model, Year, Registration Number, Insurance, Fitness Certificate, Capacity.</w:t>
            </w:r>
          </w:p>
          <w:p>
            <w:pPr>
              <w:pStyle w:val="ListParagraph"/>
              <w:numPr>
                <w:ilvl w:val="0"/>
                <w:numId w:val="2"/>
              </w:numPr>
              <w:spacing w:before="40" w:after="40"/>
            </w:pPr>
            <w:r>
              <w:rPr>
                <w:rFonts w:ascii="Arial" w:cs="Arial" w:eastAsia="Arial" w:hAnsi="Arial"/>
                <w:color w:val="1A1A1A"/>
                <w:sz w:val="20"/>
                <w:szCs w:val="20"/>
              </w:rPr>
              <w:t xml:space="preserve">Build a TMC-to-Supplier mapping: each TMC can configure preferred cab suppliers for their bookings, or the platform assigns the best-priced available supplier.</w:t>
            </w:r>
          </w:p>
          <w:p>
            <w:pPr>
              <w:pStyle w:val="ListParagraph"/>
              <w:numPr>
                <w:ilvl w:val="0"/>
                <w:numId w:val="2"/>
              </w:numPr>
              <w:spacing w:before="40" w:after="40"/>
            </w:pPr>
            <w:r>
              <w:rPr>
                <w:rFonts w:ascii="Arial" w:cs="Arial" w:eastAsia="Arial" w:hAnsi="Arial"/>
                <w:color w:val="1A1A1A"/>
                <w:sz w:val="20"/>
                <w:szCs w:val="20"/>
              </w:rPr>
              <w:t xml:space="preserve">Super Admin - Operations must have a 'Cab Suppliers' management page to add/remove suppliers, view their driver pool, and monitor compliance document expiry.</w:t>
            </w:r>
          </w:p>
          <w:p>
            <w:pPr>
              <w:pStyle w:val="ListParagraph"/>
              <w:numPr>
                <w:ilvl w:val="0"/>
                <w:numId w:val="2"/>
              </w:numPr>
              <w:spacing w:before="40" w:after="40"/>
            </w:pPr>
            <w:r>
              <w:rPr>
                <w:rFonts w:ascii="Arial" w:cs="Arial" w:eastAsia="Arial" w:hAnsi="Arial"/>
                <w:color w:val="1A1A1A"/>
                <w:sz w:val="20"/>
                <w:szCs w:val="20"/>
              </w:rPr>
              <w:t xml:space="preserve">Define the driver assignment algorithm: closest available driver, lowest cost, or supplier priority order.</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960"/>
        <w:gridCol w:w="1800"/>
      </w:tblGrid>
      <w:tr>
        <w:tc>
          <w:tcPr>
            <w:tcW w:type="dxa" w:w="9360"/>
            <w:gridSpan w:val="4"/>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4"/>
                <w:szCs w:val="24"/>
              </w:rPr>
              <w:t xml:space="preserve">GAP-10 — Price Fluctuation Approval Requires Admin — Timezone Risk</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95959"/>
                <w:sz w:val="18"/>
                <w:szCs w:val="18"/>
              </w:rPr>
              <w:t xml:space="preserve">Severity</w:t>
            </w:r>
          </w:p>
          <w:p>
            <w:r>
              <w:rPr>
                <w:rFonts w:ascii="Arial" w:cs="Arial" w:eastAsia="Arial" w:hAnsi="Arial"/>
                <w:b/>
                <w:bCs/>
                <w:color w:val="2E75B6"/>
                <w:sz w:val="20"/>
                <w:szCs w:val="20"/>
              </w:rPr>
              <w:t xml:space="preserve">High</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95959"/>
                <w:sz w:val="18"/>
                <w:szCs w:val="18"/>
              </w:rPr>
              <w:t xml:space="preserve">Module</w:t>
            </w:r>
          </w:p>
          <w:p>
            <w:r>
              <w:rPr>
                <w:rFonts w:ascii="Arial" w:cs="Arial" w:eastAsia="Arial" w:hAnsi="Arial"/>
                <w:color w:val="1A1A1A"/>
                <w:sz w:val="20"/>
                <w:szCs w:val="20"/>
              </w:rPr>
              <w:t xml:space="preserve">Pricing / Admin Workflow</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95959"/>
                <w:sz w:val="18"/>
                <w:szCs w:val="18"/>
              </w:rPr>
              <w:t xml:space="preserve">Owner / Role</w:t>
            </w:r>
          </w:p>
          <w:p>
            <w:r>
              <w:rPr>
                <w:rFonts w:ascii="Arial" w:cs="Arial" w:eastAsia="Arial" w:hAnsi="Arial"/>
                <w:color w:val="1A1A1A"/>
                <w:sz w:val="20"/>
                <w:szCs w:val="20"/>
              </w:rPr>
              <w:t xml:space="preserve">Super Admin - Finance, Super Admin - Operations, Engineering</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95959"/>
                <w:sz w:val="18"/>
                <w:szCs w:val="18"/>
              </w:rPr>
              <w:t xml:space="preserve">Phase</w:t>
            </w:r>
          </w:p>
          <w:p>
            <w:r>
              <w:rPr>
                <w:rFonts w:ascii="Arial" w:cs="Arial" w:eastAsia="Arial" w:hAnsi="Arial"/>
                <w:color w:val="1A1A1A"/>
                <w:sz w:val="20"/>
                <w:szCs w:val="20"/>
              </w:rPr>
              <w:t xml:space="preserve">Phase 1–2</w:t>
            </w:r>
          </w:p>
        </w:tc>
      </w:tr>
      <w:tr>
        <w:tc>
          <w:tcPr>
            <w:tcW w:type="dxa" w:w="9360"/>
            <w:gridSpan w:val="4"/>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before="60" w:after="60"/>
            </w:pPr>
            <w:r>
              <w:rPr>
                <w:rFonts w:ascii="Arial" w:cs="Arial" w:eastAsia="Arial" w:hAnsi="Arial"/>
                <w:b/>
                <w:bCs/>
                <w:color w:val="2E75B6"/>
                <w:sz w:val="20"/>
                <w:szCs w:val="20"/>
              </w:rPr>
              <w:t xml:space="preserve">Problem Statement</w:t>
            </w:r>
          </w:p>
          <w:p>
            <w:pPr>
              <w:spacing w:before="0" w:after="100"/>
            </w:pPr>
            <w:r>
              <w:rPr>
                <w:rFonts w:ascii="Arial" w:cs="Arial" w:eastAsia="Arial" w:hAnsi="Arial"/>
                <w:color w:val="1A1A1A"/>
                <w:sz w:val="20"/>
                <w:szCs w:val="20"/>
              </w:rPr>
              <w:t xml:space="preserve">The BRD implies that certain price changes or fluctuations (e.g., dynamic fare differences on modifications, credit limit changes) require Super Admin approval. When TMC Admin and Super Admin are in different time zones, this creates a hard blocker: a booking that needs admin approval to proceed could be delayed by hours, causing the fare to expire or the customer to be left waiting. The BRD does not define any automated approval mechanism or approval delegation.</w:t>
            </w:r>
          </w:p>
          <w:p>
            <w:pPr>
              <w:spacing w:before="60" w:after="60"/>
            </w:pPr>
            <w:r>
              <w:rPr>
                <w:rFonts w:ascii="Arial" w:cs="Arial" w:eastAsia="Arial" w:hAnsi="Arial"/>
                <w:b/>
                <w:bCs/>
                <w:color w:val="2E75B6"/>
                <w:sz w:val="20"/>
                <w:szCs w:val="20"/>
              </w:rPr>
              <w:t xml:space="preserve">Proposed Solution</w:t>
            </w:r>
          </w:p>
          <w:p>
            <w:pPr>
              <w:spacing w:before="0" w:after="100"/>
            </w:pPr>
            <w:r>
              <w:rPr>
                <w:rFonts w:ascii="Arial" w:cs="Arial" w:eastAsia="Arial" w:hAnsi="Arial"/>
                <w:color w:val="1A1A1A"/>
                <w:sz w:val="20"/>
                <w:szCs w:val="20"/>
              </w:rPr>
              <w:t xml:space="preserve">Implement tiered auto-approval rules: define thresholds below which the system auto-approves price changes, and above which approval is required but handled asynchronously (non-blocking). Introduce approval delegation so admins can designate deputies.</w:t>
            </w:r>
          </w:p>
          <w:p>
            <w:pPr>
              <w:spacing w:before="60" w:after="60"/>
            </w:pPr>
            <w:r>
              <w:rPr>
                <w:rFonts w:ascii="Arial" w:cs="Arial" w:eastAsia="Arial" w:hAnsi="Arial"/>
                <w:b/>
                <w:bCs/>
                <w:color w:val="2E75B6"/>
                <w:sz w:val="20"/>
                <w:szCs w:val="20"/>
              </w:rPr>
              <w:t xml:space="preserve">Implementation Steps</w:t>
            </w:r>
          </w:p>
          <w:p>
            <w:pPr>
              <w:pStyle w:val="ListParagraph"/>
              <w:numPr>
                <w:ilvl w:val="0"/>
                <w:numId w:val="2"/>
              </w:numPr>
              <w:spacing w:before="40" w:after="40"/>
            </w:pPr>
            <w:r>
              <w:rPr>
                <w:rFonts w:ascii="Arial" w:cs="Arial" w:eastAsia="Arial" w:hAnsi="Arial"/>
                <w:color w:val="1A1A1A"/>
                <w:sz w:val="20"/>
                <w:szCs w:val="20"/>
              </w:rPr>
              <w:t xml:space="preserve">Define a 'Price Fluctuation Policy' configuration panel (Super Admin - Finance): set auto-approval thresholds per service type (e.g., 'Auto-approve fare changes up to 5% or INR 500 — whichever is lower on flights').</w:t>
            </w:r>
          </w:p>
          <w:p>
            <w:pPr>
              <w:pStyle w:val="ListParagraph"/>
              <w:numPr>
                <w:ilvl w:val="0"/>
                <w:numId w:val="2"/>
              </w:numPr>
              <w:spacing w:before="40" w:after="40"/>
            </w:pPr>
            <w:r>
              <w:rPr>
                <w:rFonts w:ascii="Arial" w:cs="Arial" w:eastAsia="Arial" w:hAnsi="Arial"/>
                <w:color w:val="1A1A1A"/>
                <w:sz w:val="20"/>
                <w:szCs w:val="20"/>
              </w:rPr>
              <w:t xml:space="preserve">Modifications within the auto-approval threshold proceed immediately without any human approval step.</w:t>
            </w:r>
          </w:p>
          <w:p>
            <w:pPr>
              <w:pStyle w:val="ListParagraph"/>
              <w:numPr>
                <w:ilvl w:val="0"/>
                <w:numId w:val="2"/>
              </w:numPr>
              <w:spacing w:before="40" w:after="40"/>
            </w:pPr>
            <w:r>
              <w:rPr>
                <w:rFonts w:ascii="Arial" w:cs="Arial" w:eastAsia="Arial" w:hAnsi="Arial"/>
                <w:color w:val="1A1A1A"/>
                <w:sz w:val="20"/>
                <w:szCs w:val="20"/>
              </w:rPr>
              <w:t xml:space="preserve">Modifications above the threshold: system sends an approval request via email and in-app notification to Super Admin but allows the agent to place the booking in a 'Pending Approval' state — fare is held for up to 30 minutes.</w:t>
            </w:r>
          </w:p>
          <w:p>
            <w:pPr>
              <w:pStyle w:val="ListParagraph"/>
              <w:numPr>
                <w:ilvl w:val="0"/>
                <w:numId w:val="2"/>
              </w:numPr>
              <w:spacing w:before="40" w:after="40"/>
            </w:pPr>
            <w:r>
              <w:rPr>
                <w:rFonts w:ascii="Arial" w:cs="Arial" w:eastAsia="Arial" w:hAnsi="Arial"/>
                <w:color w:val="1A1A1A"/>
                <w:sz w:val="20"/>
                <w:szCs w:val="20"/>
              </w:rPr>
              <w:t xml:space="preserve">If approval is not received within 30 minutes, the system auto-escalates to a backup approver (configurable) or the booking is automatically declined with a clear message.</w:t>
            </w:r>
          </w:p>
          <w:p>
            <w:pPr>
              <w:pStyle w:val="ListParagraph"/>
              <w:numPr>
                <w:ilvl w:val="0"/>
                <w:numId w:val="2"/>
              </w:numPr>
              <w:spacing w:before="40" w:after="40"/>
            </w:pPr>
            <w:r>
              <w:rPr>
                <w:rFonts w:ascii="Arial" w:cs="Arial" w:eastAsia="Arial" w:hAnsi="Arial"/>
                <w:color w:val="1A1A1A"/>
                <w:sz w:val="20"/>
                <w:szCs w:val="20"/>
              </w:rPr>
              <w:t xml:space="preserve">Implement 'Approval Delegation': Super Admin can nominate a Deputy Approver for a specified date range (e.g., during holidays or travel). Deputy can approve within the same thresholds.</w:t>
            </w:r>
          </w:p>
          <w:p>
            <w:pPr>
              <w:pStyle w:val="ListParagraph"/>
              <w:numPr>
                <w:ilvl w:val="0"/>
                <w:numId w:val="2"/>
              </w:numPr>
              <w:spacing w:before="40" w:after="40"/>
            </w:pPr>
            <w:r>
              <w:rPr>
                <w:rFonts w:ascii="Arial" w:cs="Arial" w:eastAsia="Arial" w:hAnsi="Arial"/>
                <w:color w:val="1A1A1A"/>
                <w:sz w:val="20"/>
                <w:szCs w:val="20"/>
              </w:rPr>
              <w:t xml:space="preserve">All auto-approvals and delegated approvals are logged in the audit trail with the rule or person that triggered the approval.</w:t>
            </w:r>
          </w:p>
          <w:p>
            <w:pPr>
              <w:pStyle w:val="ListParagraph"/>
              <w:numPr>
                <w:ilvl w:val="0"/>
                <w:numId w:val="2"/>
              </w:numPr>
              <w:spacing w:before="40" w:after="40"/>
            </w:pPr>
            <w:r>
              <w:rPr>
                <w:rFonts w:ascii="Arial" w:cs="Arial" w:eastAsia="Arial" w:hAnsi="Arial"/>
                <w:color w:val="1A1A1A"/>
                <w:sz w:val="20"/>
                <w:szCs w:val="20"/>
              </w:rPr>
              <w:t xml:space="preserve">Build a mobile-friendly approval notification so Super Admins can approve on their phone without logging into the desktop dashboard.</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960"/>
        <w:gridCol w:w="1800"/>
      </w:tblGrid>
      <w:tr>
        <w:tc>
          <w:tcPr>
            <w:tcW w:type="dxa" w:w="9360"/>
            <w:gridSpan w:val="4"/>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4"/>
                <w:szCs w:val="24"/>
              </w:rPr>
              <w:t xml:space="preserve">GAP-11 — Credit Limit vs. Wallet Top-Up Ambiguity for TMC Admin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95959"/>
                <w:sz w:val="18"/>
                <w:szCs w:val="18"/>
              </w:rPr>
              <w:t xml:space="preserve">Severity</w:t>
            </w:r>
          </w:p>
          <w:p>
            <w:r>
              <w:rPr>
                <w:rFonts w:ascii="Arial" w:cs="Arial" w:eastAsia="Arial" w:hAnsi="Arial"/>
                <w:b/>
                <w:bCs/>
                <w:color w:val="2E75B6"/>
                <w:sz w:val="20"/>
                <w:szCs w:val="20"/>
              </w:rPr>
              <w:t xml:space="preserve">High</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95959"/>
                <w:sz w:val="18"/>
                <w:szCs w:val="18"/>
              </w:rPr>
              <w:t xml:space="preserve">Module</w:t>
            </w:r>
          </w:p>
          <w:p>
            <w:r>
              <w:rPr>
                <w:rFonts w:ascii="Arial" w:cs="Arial" w:eastAsia="Arial" w:hAnsi="Arial"/>
                <w:color w:val="1A1A1A"/>
                <w:sz w:val="20"/>
                <w:szCs w:val="20"/>
              </w:rPr>
              <w:t xml:space="preserve">Financials / Wallet / Credit</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95959"/>
                <w:sz w:val="18"/>
                <w:szCs w:val="18"/>
              </w:rPr>
              <w:t xml:space="preserve">Owner / Role</w:t>
            </w:r>
          </w:p>
          <w:p>
            <w:r>
              <w:rPr>
                <w:rFonts w:ascii="Arial" w:cs="Arial" w:eastAsia="Arial" w:hAnsi="Arial"/>
                <w:color w:val="1A1A1A"/>
                <w:sz w:val="20"/>
                <w:szCs w:val="20"/>
              </w:rPr>
              <w:t xml:space="preserve">TMC Admin, Super Admin - Finance, Engineering</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95959"/>
                <w:sz w:val="18"/>
                <w:szCs w:val="18"/>
              </w:rPr>
              <w:t xml:space="preserve">Phase</w:t>
            </w:r>
          </w:p>
          <w:p>
            <w:r>
              <w:rPr>
                <w:rFonts w:ascii="Arial" w:cs="Arial" w:eastAsia="Arial" w:hAnsi="Arial"/>
                <w:color w:val="1A1A1A"/>
                <w:sz w:val="20"/>
                <w:szCs w:val="20"/>
              </w:rPr>
              <w:t xml:space="preserve">Phase 1–2</w:t>
            </w:r>
          </w:p>
        </w:tc>
      </w:tr>
      <w:tr>
        <w:tc>
          <w:tcPr>
            <w:tcW w:type="dxa" w:w="9360"/>
            <w:gridSpan w:val="4"/>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before="60" w:after="60"/>
            </w:pPr>
            <w:r>
              <w:rPr>
                <w:rFonts w:ascii="Arial" w:cs="Arial" w:eastAsia="Arial" w:hAnsi="Arial"/>
                <w:b/>
                <w:bCs/>
                <w:color w:val="2E75B6"/>
                <w:sz w:val="20"/>
                <w:szCs w:val="20"/>
              </w:rPr>
              <w:t xml:space="preserve">Problem Statement</w:t>
            </w:r>
          </w:p>
          <w:p>
            <w:pPr>
              <w:spacing w:before="0" w:after="100"/>
            </w:pPr>
            <w:r>
              <w:rPr>
                <w:rFonts w:ascii="Arial" w:cs="Arial" w:eastAsia="Arial" w:hAnsi="Arial"/>
                <w:color w:val="1A1A1A"/>
                <w:sz w:val="20"/>
                <w:szCs w:val="20"/>
              </w:rPr>
              <w:t xml:space="preserve">The BRD defines both a Wallet (prepaid) and a Credit system (postpaid), but it is unclear whether a TMC Admin can top up the wallet with an amount that exceeds the credit limit, and what the relationship between the two systems is. For example: if a TMC has a credit limit of INR 2 lakhs, can they also hold INR 5 lakhs in their wallet independently? Can the credit limit act as a combined cap on total outstanding exposure? This ambiguity will cause financial reconciliation confusion and potential over-extension of credit.</w:t>
            </w:r>
          </w:p>
          <w:p>
            <w:pPr>
              <w:spacing w:before="60" w:after="60"/>
            </w:pPr>
            <w:r>
              <w:rPr>
                <w:rFonts w:ascii="Arial" w:cs="Arial" w:eastAsia="Arial" w:hAnsi="Arial"/>
                <w:b/>
                <w:bCs/>
                <w:color w:val="2E75B6"/>
                <w:sz w:val="20"/>
                <w:szCs w:val="20"/>
              </w:rPr>
              <w:t xml:space="preserve">Proposed Solution</w:t>
            </w:r>
          </w:p>
          <w:p>
            <w:pPr>
              <w:spacing w:before="0" w:after="100"/>
            </w:pPr>
            <w:r>
              <w:rPr>
                <w:rFonts w:ascii="Arial" w:cs="Arial" w:eastAsia="Arial" w:hAnsi="Arial"/>
                <w:color w:val="1A1A1A"/>
                <w:sz w:val="20"/>
                <w:szCs w:val="20"/>
              </w:rPr>
              <w:t xml:space="preserve">Clearly separate Wallet and Credit into two independent financial instruments with separate caps, and define the rules for how they interact at the time of payment. Document this in the BRD and implement it in the platform's financial data model.</w:t>
            </w:r>
          </w:p>
          <w:p>
            <w:pPr>
              <w:spacing w:before="60" w:after="60"/>
            </w:pPr>
            <w:r>
              <w:rPr>
                <w:rFonts w:ascii="Arial" w:cs="Arial" w:eastAsia="Arial" w:hAnsi="Arial"/>
                <w:b/>
                <w:bCs/>
                <w:color w:val="2E75B6"/>
                <w:sz w:val="20"/>
                <w:szCs w:val="20"/>
              </w:rPr>
              <w:t xml:space="preserve">Implementation Steps</w:t>
            </w:r>
          </w:p>
          <w:p>
            <w:pPr>
              <w:pStyle w:val="ListParagraph"/>
              <w:numPr>
                <w:ilvl w:val="0"/>
                <w:numId w:val="2"/>
              </w:numPr>
              <w:spacing w:before="40" w:after="40"/>
            </w:pPr>
            <w:r>
              <w:rPr>
                <w:rFonts w:ascii="Arial" w:cs="Arial" w:eastAsia="Arial" w:hAnsi="Arial"/>
                <w:color w:val="1A1A1A"/>
                <w:sz w:val="20"/>
                <w:szCs w:val="20"/>
              </w:rPr>
              <w:t xml:space="preserve">Define Wallet as fully independent of the Credit system: the TMC can top up any amount. The wallet balance is their own pre-paid money. No cap on wallet balance.</w:t>
            </w:r>
          </w:p>
          <w:p>
            <w:pPr>
              <w:pStyle w:val="ListParagraph"/>
              <w:numPr>
                <w:ilvl w:val="0"/>
                <w:numId w:val="2"/>
              </w:numPr>
              <w:spacing w:before="40" w:after="40"/>
            </w:pPr>
            <w:r>
              <w:rPr>
                <w:rFonts w:ascii="Arial" w:cs="Arial" w:eastAsia="Arial" w:hAnsi="Arial"/>
                <w:color w:val="1A1A1A"/>
                <w:sz w:val="20"/>
                <w:szCs w:val="20"/>
              </w:rPr>
              <w:t xml:space="preserve">Define Credit as a postpaid facility with a fixed limit set by Super Admin - Finance. The credit exposure at any point cannot exceed the credit limit.</w:t>
            </w:r>
          </w:p>
          <w:p>
            <w:pPr>
              <w:pStyle w:val="ListParagraph"/>
              <w:numPr>
                <w:ilvl w:val="0"/>
                <w:numId w:val="2"/>
              </w:numPr>
              <w:spacing w:before="40" w:after="40"/>
            </w:pPr>
            <w:r>
              <w:rPr>
                <w:rFonts w:ascii="Arial" w:cs="Arial" w:eastAsia="Arial" w:hAnsi="Arial"/>
                <w:color w:val="1A1A1A"/>
                <w:sz w:val="20"/>
                <w:szCs w:val="20"/>
              </w:rPr>
              <w:t xml:space="preserve">At payment time, the agent selects 'Wallet' or 'Credit' (or both if allowed). The system validates: (a) Wallet has sufficient balance for wallet payments, (b) Current credit utilisation + new booking amount does not exceed credit limit for credit payments.</w:t>
            </w:r>
          </w:p>
          <w:p>
            <w:pPr>
              <w:pStyle w:val="ListParagraph"/>
              <w:numPr>
                <w:ilvl w:val="0"/>
                <w:numId w:val="2"/>
              </w:numPr>
              <w:spacing w:before="40" w:after="40"/>
            </w:pPr>
            <w:r>
              <w:rPr>
                <w:rFonts w:ascii="Arial" w:cs="Arial" w:eastAsia="Arial" w:hAnsi="Arial"/>
                <w:color w:val="1A1A1A"/>
                <w:sz w:val="20"/>
                <w:szCs w:val="20"/>
              </w:rPr>
              <w:t xml:space="preserve">Add a 'Financial Overview' widget to the TMC Admin dashboard showing: Wallet Balance, Credit Limit, Credit Used, Credit Available, and Outstanding Amount.</w:t>
            </w:r>
          </w:p>
          <w:p>
            <w:pPr>
              <w:pStyle w:val="ListParagraph"/>
              <w:numPr>
                <w:ilvl w:val="0"/>
                <w:numId w:val="2"/>
              </w:numPr>
              <w:spacing w:before="40" w:after="40"/>
            </w:pPr>
            <w:r>
              <w:rPr>
                <w:rFonts w:ascii="Arial" w:cs="Arial" w:eastAsia="Arial" w:hAnsi="Arial"/>
                <w:color w:val="1A1A1A"/>
                <w:sz w:val="20"/>
                <w:szCs w:val="20"/>
              </w:rPr>
              <w:t xml:space="preserve">Clarify in the platform UI that topping up the wallet does not reduce the credit limit or vice versa — they are separate.</w:t>
            </w:r>
          </w:p>
          <w:p>
            <w:pPr>
              <w:pStyle w:val="ListParagraph"/>
              <w:numPr>
                <w:ilvl w:val="0"/>
                <w:numId w:val="2"/>
              </w:numPr>
              <w:spacing w:before="40" w:after="40"/>
            </w:pPr>
            <w:r>
              <w:rPr>
                <w:rFonts w:ascii="Arial" w:cs="Arial" w:eastAsia="Arial" w:hAnsi="Arial"/>
                <w:color w:val="1A1A1A"/>
                <w:sz w:val="20"/>
                <w:szCs w:val="20"/>
              </w:rPr>
              <w:t xml:space="preserve">Super Admin - Finance can set a 'combined exposure cap' per TMC (optional): a ceiling on wallet + credit combined outstanding if needed for risk management.</w:t>
            </w:r>
          </w:p>
          <w:p>
            <w:pPr>
              <w:pStyle w:val="ListParagraph"/>
              <w:numPr>
                <w:ilvl w:val="0"/>
                <w:numId w:val="2"/>
              </w:numPr>
              <w:spacing w:before="40" w:after="40"/>
            </w:pPr>
            <w:r>
              <w:rPr>
                <w:rFonts w:ascii="Arial" w:cs="Arial" w:eastAsia="Arial" w:hAnsi="Arial"/>
                <w:color w:val="1A1A1A"/>
                <w:sz w:val="20"/>
                <w:szCs w:val="20"/>
              </w:rPr>
              <w:t xml:space="preserve">Add a low-balance alert for wallets and a high-utilisation alert for credit (configurable thresholds).</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960"/>
        <w:gridCol w:w="1800"/>
      </w:tblGrid>
      <w:tr>
        <w:tc>
          <w:tcPr>
            <w:tcW w:type="dxa" w:w="9360"/>
            <w:gridSpan w:val="4"/>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4"/>
                <w:szCs w:val="24"/>
              </w:rPr>
              <w:t xml:space="preserve">GAP-12 — No Fraud Detection or Booking Anomaly Alerts Defined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95959"/>
                <w:sz w:val="18"/>
                <w:szCs w:val="18"/>
              </w:rPr>
              <w:t xml:space="preserve">Severity</w:t>
            </w:r>
          </w:p>
          <w:p>
            <w:r>
              <w:rPr>
                <w:rFonts w:ascii="Arial" w:cs="Arial" w:eastAsia="Arial" w:hAnsi="Arial"/>
                <w:b/>
                <w:bCs/>
                <w:color w:val="2E75B6"/>
                <w:sz w:val="20"/>
                <w:szCs w:val="20"/>
              </w:rPr>
              <w:t xml:space="preserve">High</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95959"/>
                <w:sz w:val="18"/>
                <w:szCs w:val="18"/>
              </w:rPr>
              <w:t xml:space="preserve">Module</w:t>
            </w:r>
          </w:p>
          <w:p>
            <w:r>
              <w:rPr>
                <w:rFonts w:ascii="Arial" w:cs="Arial" w:eastAsia="Arial" w:hAnsi="Arial"/>
                <w:color w:val="1A1A1A"/>
                <w:sz w:val="20"/>
                <w:szCs w:val="20"/>
              </w:rPr>
              <w:t xml:space="preserve">Security / Fraud Prevention</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95959"/>
                <w:sz w:val="18"/>
                <w:szCs w:val="18"/>
              </w:rPr>
              <w:t xml:space="preserve">Owner / Role</w:t>
            </w:r>
          </w:p>
          <w:p>
            <w:r>
              <w:rPr>
                <w:rFonts w:ascii="Arial" w:cs="Arial" w:eastAsia="Arial" w:hAnsi="Arial"/>
                <w:color w:val="1A1A1A"/>
                <w:sz w:val="20"/>
                <w:szCs w:val="20"/>
              </w:rPr>
              <w:t xml:space="preserve">Super Admin - Operations, Super Admin - Finance, Engineering</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95959"/>
                <w:sz w:val="18"/>
                <w:szCs w:val="18"/>
              </w:rPr>
              <w:t xml:space="preserve">Phase</w:t>
            </w:r>
          </w:p>
          <w:p>
            <w:r>
              <w:rPr>
                <w:rFonts w:ascii="Arial" w:cs="Arial" w:eastAsia="Arial" w:hAnsi="Arial"/>
                <w:color w:val="1A1A1A"/>
                <w:sz w:val="20"/>
                <w:szCs w:val="20"/>
              </w:rPr>
              <w:t xml:space="preserve">Phase 1–2</w:t>
            </w:r>
          </w:p>
        </w:tc>
      </w:tr>
      <w:tr>
        <w:tc>
          <w:tcPr>
            <w:tcW w:type="dxa" w:w="9360"/>
            <w:gridSpan w:val="4"/>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before="60" w:after="60"/>
            </w:pPr>
            <w:r>
              <w:rPr>
                <w:rFonts w:ascii="Arial" w:cs="Arial" w:eastAsia="Arial" w:hAnsi="Arial"/>
                <w:b/>
                <w:bCs/>
                <w:color w:val="2E75B6"/>
                <w:sz w:val="20"/>
                <w:szCs w:val="20"/>
              </w:rPr>
              <w:t xml:space="preserve">Problem Statement</w:t>
            </w:r>
          </w:p>
          <w:p>
            <w:pPr>
              <w:spacing w:before="0" w:after="100"/>
            </w:pPr>
            <w:r>
              <w:rPr>
                <w:rFonts w:ascii="Arial" w:cs="Arial" w:eastAsia="Arial" w:hAnsi="Arial"/>
                <w:color w:val="1A1A1A"/>
                <w:sz w:val="20"/>
                <w:szCs w:val="20"/>
              </w:rPr>
              <w:t xml:space="preserve">Beyond the agent performance metrics gap (GAP-04), the BRD has no mention of platform-level fraud detection. There is no system defined to detect: multiple bookings from the same IP in a short timeframe, booking-and-immediate-cancellation patterns to earn refunds, wallet top-up fraud, or use of stolen payment credentials. For a platform processing significant financial volumes, the absence of any fraud detection layer is a critical risk.</w:t>
            </w:r>
          </w:p>
          <w:p>
            <w:pPr>
              <w:spacing w:before="60" w:after="60"/>
            </w:pPr>
            <w:r>
              <w:rPr>
                <w:rFonts w:ascii="Arial" w:cs="Arial" w:eastAsia="Arial" w:hAnsi="Arial"/>
                <w:b/>
                <w:bCs/>
                <w:color w:val="2E75B6"/>
                <w:sz w:val="20"/>
                <w:szCs w:val="20"/>
              </w:rPr>
              <w:t xml:space="preserve">Proposed Solution</w:t>
            </w:r>
          </w:p>
          <w:p>
            <w:pPr>
              <w:spacing w:before="0" w:after="100"/>
            </w:pPr>
            <w:r>
              <w:rPr>
                <w:rFonts w:ascii="Arial" w:cs="Arial" w:eastAsia="Arial" w:hAnsi="Arial"/>
                <w:color w:val="1A1A1A"/>
                <w:sz w:val="20"/>
                <w:szCs w:val="20"/>
              </w:rPr>
              <w:t xml:space="preserve">Implement a rule-based Fraud Detection Layer in Phase 1 with more advanced ML-based anomaly detection in Phase 2. Define clear fraud signals and automated responses.</w:t>
            </w:r>
          </w:p>
          <w:p>
            <w:pPr>
              <w:spacing w:before="60" w:after="60"/>
            </w:pPr>
            <w:r>
              <w:rPr>
                <w:rFonts w:ascii="Arial" w:cs="Arial" w:eastAsia="Arial" w:hAnsi="Arial"/>
                <w:b/>
                <w:bCs/>
                <w:color w:val="2E75B6"/>
                <w:sz w:val="20"/>
                <w:szCs w:val="20"/>
              </w:rPr>
              <w:t xml:space="preserve">Implementation Steps</w:t>
            </w:r>
          </w:p>
          <w:p>
            <w:pPr>
              <w:pStyle w:val="ListParagraph"/>
              <w:numPr>
                <w:ilvl w:val="0"/>
                <w:numId w:val="2"/>
              </w:numPr>
              <w:spacing w:before="40" w:after="40"/>
            </w:pPr>
            <w:r>
              <w:rPr>
                <w:rFonts w:ascii="Arial" w:cs="Arial" w:eastAsia="Arial" w:hAnsi="Arial"/>
                <w:color w:val="1A1A1A"/>
                <w:sz w:val="20"/>
                <w:szCs w:val="20"/>
              </w:rPr>
              <w:t xml:space="preserve">Define a Fraud Rule Engine with configurable rules: e.g., 'Alert if more than 5 bookings are made and cancelled within 2 hours from the same agent', 'Alert if wallet top-up exceeds INR 10 lakhs in a single transaction', 'Alert if same traveller name appears on more than 10 bookings in 24 hours'.</w:t>
            </w:r>
          </w:p>
          <w:p>
            <w:pPr>
              <w:pStyle w:val="ListParagraph"/>
              <w:numPr>
                <w:ilvl w:val="0"/>
                <w:numId w:val="2"/>
              </w:numPr>
              <w:spacing w:before="40" w:after="40"/>
            </w:pPr>
            <w:r>
              <w:rPr>
                <w:rFonts w:ascii="Arial" w:cs="Arial" w:eastAsia="Arial" w:hAnsi="Arial"/>
                <w:color w:val="1A1A1A"/>
                <w:sz w:val="20"/>
                <w:szCs w:val="20"/>
              </w:rPr>
              <w:t xml:space="preserve">When a fraud rule is triggered: auto-generate a critical-priority alert for Super Admin - Operations, temporarily flag the agent or TMC for review, and optionally pause their booking ability pending manual clearance.</w:t>
            </w:r>
          </w:p>
          <w:p>
            <w:pPr>
              <w:pStyle w:val="ListParagraph"/>
              <w:numPr>
                <w:ilvl w:val="0"/>
                <w:numId w:val="2"/>
              </w:numPr>
              <w:spacing w:before="40" w:after="40"/>
            </w:pPr>
            <w:r>
              <w:rPr>
                <w:rFonts w:ascii="Arial" w:cs="Arial" w:eastAsia="Arial" w:hAnsi="Arial"/>
                <w:color w:val="1A1A1A"/>
                <w:sz w:val="20"/>
                <w:szCs w:val="20"/>
              </w:rPr>
              <w:t xml:space="preserve">Log all flagged events in a dedicated 'Fraud Alerts' section on the Super Admin - Operations dashboard.</w:t>
            </w:r>
          </w:p>
          <w:p>
            <w:pPr>
              <w:pStyle w:val="ListParagraph"/>
              <w:numPr>
                <w:ilvl w:val="0"/>
                <w:numId w:val="2"/>
              </w:numPr>
              <w:spacing w:before="40" w:after="40"/>
            </w:pPr>
            <w:r>
              <w:rPr>
                <w:rFonts w:ascii="Arial" w:cs="Arial" w:eastAsia="Arial" w:hAnsi="Arial"/>
                <w:color w:val="1A1A1A"/>
                <w:sz w:val="20"/>
                <w:szCs w:val="20"/>
              </w:rPr>
              <w:t xml:space="preserve">Implement IP-based rate limiting: if more than 30 booking requests originate from the same IP in 10 minutes, trigger a CAPTCHA or temporary block.</w:t>
            </w:r>
          </w:p>
          <w:p>
            <w:pPr>
              <w:pStyle w:val="ListParagraph"/>
              <w:numPr>
                <w:ilvl w:val="0"/>
                <w:numId w:val="2"/>
              </w:numPr>
              <w:spacing w:before="40" w:after="40"/>
            </w:pPr>
            <w:r>
              <w:rPr>
                <w:rFonts w:ascii="Arial" w:cs="Arial" w:eastAsia="Arial" w:hAnsi="Arial"/>
                <w:color w:val="1A1A1A"/>
                <w:sz w:val="20"/>
                <w:szCs w:val="20"/>
              </w:rPr>
              <w:t xml:space="preserve">For payment processing: integrate with the payment gateway's built-in fraud scoring (Razorpay Shield, Stripe Radar, etc.) and reject transactions that exceed a risk threshold.</w:t>
            </w:r>
          </w:p>
          <w:p>
            <w:pPr>
              <w:pStyle w:val="ListParagraph"/>
              <w:numPr>
                <w:ilvl w:val="0"/>
                <w:numId w:val="2"/>
              </w:numPr>
              <w:spacing w:before="40" w:after="40"/>
            </w:pPr>
            <w:r>
              <w:rPr>
                <w:rFonts w:ascii="Arial" w:cs="Arial" w:eastAsia="Arial" w:hAnsi="Arial"/>
                <w:color w:val="1A1A1A"/>
                <w:sz w:val="20"/>
                <w:szCs w:val="20"/>
              </w:rPr>
              <w:t xml:space="preserve">Phase 2: Implement ML-based anomaly detection trained on booking patterns to surface unusual behaviour proactively.</w:t>
            </w:r>
          </w:p>
          <w:p>
            <w:pPr>
              <w:pStyle w:val="ListParagraph"/>
              <w:numPr>
                <w:ilvl w:val="0"/>
                <w:numId w:val="2"/>
              </w:numPr>
              <w:spacing w:before="40" w:after="40"/>
            </w:pPr>
            <w:r>
              <w:rPr>
                <w:rFonts w:ascii="Arial" w:cs="Arial" w:eastAsia="Arial" w:hAnsi="Arial"/>
                <w:color w:val="1A1A1A"/>
                <w:sz w:val="20"/>
                <w:szCs w:val="20"/>
              </w:rPr>
              <w:t xml:space="preserve">Create a 'Fraud Report' for Super Admin - Finance and Operations: monthly summary of flagged events, resolved/unresolved, and financial exposure.</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960"/>
        <w:gridCol w:w="1800"/>
      </w:tblGrid>
      <w:tr>
        <w:tc>
          <w:tcPr>
            <w:tcW w:type="dxa" w:w="9360"/>
            <w:gridSpan w:val="4"/>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4"/>
                <w:szCs w:val="24"/>
              </w:rPr>
              <w:t xml:space="preserve">GAP-13 — Session Timeout Too Aggressive for Long Booking Workflows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95959"/>
                <w:sz w:val="18"/>
                <w:szCs w:val="18"/>
              </w:rPr>
              <w:t xml:space="preserve">Severity</w:t>
            </w:r>
          </w:p>
          <w:p>
            <w:r>
              <w:rPr>
                <w:rFonts w:ascii="Arial" w:cs="Arial" w:eastAsia="Arial" w:hAnsi="Arial"/>
                <w:b/>
                <w:bCs/>
                <w:color w:val="7F6000"/>
                <w:sz w:val="20"/>
                <w:szCs w:val="20"/>
              </w:rPr>
              <w:t xml:space="preserve">Medium</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95959"/>
                <w:sz w:val="18"/>
                <w:szCs w:val="18"/>
              </w:rPr>
              <w:t xml:space="preserve">Module</w:t>
            </w:r>
          </w:p>
          <w:p>
            <w:r>
              <w:rPr>
                <w:rFonts w:ascii="Arial" w:cs="Arial" w:eastAsia="Arial" w:hAnsi="Arial"/>
                <w:color w:val="1A1A1A"/>
                <w:sz w:val="20"/>
                <w:szCs w:val="20"/>
              </w:rPr>
              <w:t xml:space="preserve">Security / UX</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95959"/>
                <w:sz w:val="18"/>
                <w:szCs w:val="18"/>
              </w:rPr>
              <w:t xml:space="preserve">Owner / Role</w:t>
            </w:r>
          </w:p>
          <w:p>
            <w:r>
              <w:rPr>
                <w:rFonts w:ascii="Arial" w:cs="Arial" w:eastAsia="Arial" w:hAnsi="Arial"/>
                <w:color w:val="1A1A1A"/>
                <w:sz w:val="20"/>
                <w:szCs w:val="20"/>
              </w:rPr>
              <w:t xml:space="preserve">TMC Booking Agent, TMC Admin, Engineering</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95959"/>
                <w:sz w:val="18"/>
                <w:szCs w:val="18"/>
              </w:rPr>
              <w:t xml:space="preserve">Phase</w:t>
            </w:r>
          </w:p>
          <w:p>
            <w:r>
              <w:rPr>
                <w:rFonts w:ascii="Arial" w:cs="Arial" w:eastAsia="Arial" w:hAnsi="Arial"/>
                <w:color w:val="1A1A1A"/>
                <w:sz w:val="20"/>
                <w:szCs w:val="20"/>
              </w:rPr>
              <w:t xml:space="preserve">Phase 1–2</w:t>
            </w:r>
          </w:p>
        </w:tc>
      </w:tr>
      <w:tr>
        <w:tc>
          <w:tcPr>
            <w:tcW w:type="dxa" w:w="9360"/>
            <w:gridSpan w:val="4"/>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before="60" w:after="60"/>
            </w:pPr>
            <w:r>
              <w:rPr>
                <w:rFonts w:ascii="Arial" w:cs="Arial" w:eastAsia="Arial" w:hAnsi="Arial"/>
                <w:b/>
                <w:bCs/>
                <w:color w:val="2E75B6"/>
                <w:sz w:val="20"/>
                <w:szCs w:val="20"/>
              </w:rPr>
              <w:t xml:space="preserve">Problem Statement</w:t>
            </w:r>
          </w:p>
          <w:p>
            <w:pPr>
              <w:spacing w:before="0" w:after="100"/>
            </w:pPr>
            <w:r>
              <w:rPr>
                <w:rFonts w:ascii="Arial" w:cs="Arial" w:eastAsia="Arial" w:hAnsi="Arial"/>
                <w:color w:val="1A1A1A"/>
                <w:sz w:val="20"/>
                <w:szCs w:val="20"/>
              </w:rPr>
              <w:t xml:space="preserve">The BRD sets a 30-minute session timeout with a 2-minute warning. A multi-city booking with multiple passengers, ancillary selections, and client detail entry can easily take 20–40 minutes. An agent who is partway through a complex booking (having already selected seats and entered passenger details) will be logged out mid-flow and lose all unsaved data. This is a significant UX risk and will cause agent frustration and booking abandonment.</w:t>
            </w:r>
          </w:p>
          <w:p>
            <w:pPr>
              <w:spacing w:before="60" w:after="60"/>
            </w:pPr>
            <w:r>
              <w:rPr>
                <w:rFonts w:ascii="Arial" w:cs="Arial" w:eastAsia="Arial" w:hAnsi="Arial"/>
                <w:b/>
                <w:bCs/>
                <w:color w:val="2E75B6"/>
                <w:sz w:val="20"/>
                <w:szCs w:val="20"/>
              </w:rPr>
              <w:t xml:space="preserve">Proposed Solution</w:t>
            </w:r>
          </w:p>
          <w:p>
            <w:pPr>
              <w:spacing w:before="0" w:after="100"/>
            </w:pPr>
            <w:r>
              <w:rPr>
                <w:rFonts w:ascii="Arial" w:cs="Arial" w:eastAsia="Arial" w:hAnsi="Arial"/>
                <w:color w:val="1A1A1A"/>
                <w:sz w:val="20"/>
                <w:szCs w:val="20"/>
              </w:rPr>
              <w:t xml:space="preserve">Implement intelligent session extension: auto-extend the session when there is active user interaction (typing, clicking), and persist booking draft state so that if a session does expire, the agent can resume from where they left off.</w:t>
            </w:r>
          </w:p>
          <w:p>
            <w:pPr>
              <w:spacing w:before="60" w:after="60"/>
            </w:pPr>
            <w:r>
              <w:rPr>
                <w:rFonts w:ascii="Arial" w:cs="Arial" w:eastAsia="Arial" w:hAnsi="Arial"/>
                <w:b/>
                <w:bCs/>
                <w:color w:val="2E75B6"/>
                <w:sz w:val="20"/>
                <w:szCs w:val="20"/>
              </w:rPr>
              <w:t xml:space="preserve">Implementation Steps</w:t>
            </w:r>
          </w:p>
          <w:p>
            <w:pPr>
              <w:pStyle w:val="ListParagraph"/>
              <w:numPr>
                <w:ilvl w:val="0"/>
                <w:numId w:val="2"/>
              </w:numPr>
              <w:spacing w:before="40" w:after="40"/>
            </w:pPr>
            <w:r>
              <w:rPr>
                <w:rFonts w:ascii="Arial" w:cs="Arial" w:eastAsia="Arial" w:hAnsi="Arial"/>
                <w:color w:val="1A1A1A"/>
                <w:sz w:val="20"/>
                <w:szCs w:val="20"/>
              </w:rPr>
              <w:t xml:space="preserve">Implement activity-based session refresh: any keyboard input, mouse click, or API call within the booking flow should reset the inactivity timer without requiring a manual 'extend session' click.</w:t>
            </w:r>
          </w:p>
          <w:p>
            <w:pPr>
              <w:pStyle w:val="ListParagraph"/>
              <w:numPr>
                <w:ilvl w:val="0"/>
                <w:numId w:val="2"/>
              </w:numPr>
              <w:spacing w:before="40" w:after="40"/>
            </w:pPr>
            <w:r>
              <w:rPr>
                <w:rFonts w:ascii="Arial" w:cs="Arial" w:eastAsia="Arial" w:hAnsi="Arial"/>
                <w:color w:val="1A1A1A"/>
                <w:sz w:val="20"/>
                <w:szCs w:val="20"/>
              </w:rPr>
              <w:t xml:space="preserve">Increase the inactivity timeout for booking flow pages to 60 minutes (vs. 30 minutes on general dashboard pages).</w:t>
            </w:r>
          </w:p>
          <w:p>
            <w:pPr>
              <w:pStyle w:val="ListParagraph"/>
              <w:numPr>
                <w:ilvl w:val="0"/>
                <w:numId w:val="2"/>
              </w:numPr>
              <w:spacing w:before="40" w:after="40"/>
            </w:pPr>
            <w:r>
              <w:rPr>
                <w:rFonts w:ascii="Arial" w:cs="Arial" w:eastAsia="Arial" w:hAnsi="Arial"/>
                <w:color w:val="1A1A1A"/>
                <w:sz w:val="20"/>
                <w:szCs w:val="20"/>
              </w:rPr>
              <w:t xml:space="preserve">Implement Booking Draft Auto-Save: every 2 minutes during the booking flow, save the current state (selected flights/hotels, passenger details, ancillaries) to a server-side draft.</w:t>
            </w:r>
          </w:p>
          <w:p>
            <w:pPr>
              <w:pStyle w:val="ListParagraph"/>
              <w:numPr>
                <w:ilvl w:val="0"/>
                <w:numId w:val="2"/>
              </w:numPr>
              <w:spacing w:before="40" w:after="40"/>
            </w:pPr>
            <w:r>
              <w:rPr>
                <w:rFonts w:ascii="Arial" w:cs="Arial" w:eastAsia="Arial" w:hAnsi="Arial"/>
                <w:color w:val="1A1A1A"/>
                <w:sz w:val="20"/>
                <w:szCs w:val="20"/>
              </w:rPr>
              <w:t xml:space="preserve">If the session expires during a booking, on re-login show a 'Resume Booking' prompt that restores the draft from where they left off. Draft expires after 24 hours.</w:t>
            </w:r>
          </w:p>
          <w:p>
            <w:pPr>
              <w:pStyle w:val="ListParagraph"/>
              <w:numPr>
                <w:ilvl w:val="0"/>
                <w:numId w:val="2"/>
              </w:numPr>
              <w:spacing w:before="40" w:after="40"/>
            </w:pPr>
            <w:r>
              <w:rPr>
                <w:rFonts w:ascii="Arial" w:cs="Arial" w:eastAsia="Arial" w:hAnsi="Arial"/>
                <w:color w:val="1A1A1A"/>
                <w:sz w:val="20"/>
                <w:szCs w:val="20"/>
              </w:rPr>
              <w:t xml:space="preserve">Keep the 30-minute timeout on non-booking pages (dashboard, reports) for security.</w:t>
            </w:r>
          </w:p>
          <w:p>
            <w:pPr>
              <w:pStyle w:val="ListParagraph"/>
              <w:numPr>
                <w:ilvl w:val="0"/>
                <w:numId w:val="2"/>
              </w:numPr>
              <w:spacing w:before="40" w:after="40"/>
            </w:pPr>
            <w:r>
              <w:rPr>
                <w:rFonts w:ascii="Arial" w:cs="Arial" w:eastAsia="Arial" w:hAnsi="Arial"/>
                <w:color w:val="1A1A1A"/>
                <w:sz w:val="20"/>
                <w:szCs w:val="20"/>
              </w:rPr>
              <w:t xml:space="preserve">Add a visible session countdown timer in the top right corner of booking pages that shows 'Session expires in: X min' when under 10 minutes remaining.</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960"/>
        <w:gridCol w:w="1800"/>
      </w:tblGrid>
      <w:tr>
        <w:tc>
          <w:tcPr>
            <w:tcW w:type="dxa" w:w="9360"/>
            <w:gridSpan w:val="4"/>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4"/>
                <w:szCs w:val="24"/>
              </w:rPr>
              <w:t xml:space="preserve">GAP-14 — No Multi-Currency or Forex Handling for International TMCs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95959"/>
                <w:sz w:val="18"/>
                <w:szCs w:val="18"/>
              </w:rPr>
              <w:t xml:space="preserve">Severity</w:t>
            </w:r>
          </w:p>
          <w:p>
            <w:r>
              <w:rPr>
                <w:rFonts w:ascii="Arial" w:cs="Arial" w:eastAsia="Arial" w:hAnsi="Arial"/>
                <w:b/>
                <w:bCs/>
                <w:color w:val="7F6000"/>
                <w:sz w:val="20"/>
                <w:szCs w:val="20"/>
              </w:rPr>
              <w:t xml:space="preserve">Medium</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95959"/>
                <w:sz w:val="18"/>
                <w:szCs w:val="18"/>
              </w:rPr>
              <w:t xml:space="preserve">Module</w:t>
            </w:r>
          </w:p>
          <w:p>
            <w:r>
              <w:rPr>
                <w:rFonts w:ascii="Arial" w:cs="Arial" w:eastAsia="Arial" w:hAnsi="Arial"/>
                <w:color w:val="1A1A1A"/>
                <w:sz w:val="20"/>
                <w:szCs w:val="20"/>
              </w:rPr>
              <w:t xml:space="preserve">Financials / Internationalisation</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95959"/>
                <w:sz w:val="18"/>
                <w:szCs w:val="18"/>
              </w:rPr>
              <w:t xml:space="preserve">Owner / Role</w:t>
            </w:r>
          </w:p>
          <w:p>
            <w:r>
              <w:rPr>
                <w:rFonts w:ascii="Arial" w:cs="Arial" w:eastAsia="Arial" w:hAnsi="Arial"/>
                <w:color w:val="1A1A1A"/>
                <w:sz w:val="20"/>
                <w:szCs w:val="20"/>
              </w:rPr>
              <w:t xml:space="preserve">Super Admin - Finance, Engineering, Legal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95959"/>
                <w:sz w:val="18"/>
                <w:szCs w:val="18"/>
              </w:rPr>
              <w:t xml:space="preserve">Phase</w:t>
            </w:r>
          </w:p>
          <w:p>
            <w:r>
              <w:rPr>
                <w:rFonts w:ascii="Arial" w:cs="Arial" w:eastAsia="Arial" w:hAnsi="Arial"/>
                <w:color w:val="1A1A1A"/>
                <w:sz w:val="20"/>
                <w:szCs w:val="20"/>
              </w:rPr>
              <w:t xml:space="preserve">Phase 1–2</w:t>
            </w:r>
          </w:p>
        </w:tc>
      </w:tr>
      <w:tr>
        <w:tc>
          <w:tcPr>
            <w:tcW w:type="dxa" w:w="9360"/>
            <w:gridSpan w:val="4"/>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before="60" w:after="60"/>
            </w:pPr>
            <w:r>
              <w:rPr>
                <w:rFonts w:ascii="Arial" w:cs="Arial" w:eastAsia="Arial" w:hAnsi="Arial"/>
                <w:b/>
                <w:bCs/>
                <w:color w:val="2E75B6"/>
                <w:sz w:val="20"/>
                <w:szCs w:val="20"/>
              </w:rPr>
              <w:t xml:space="preserve">Problem Statement</w:t>
            </w:r>
          </w:p>
          <w:p>
            <w:pPr>
              <w:spacing w:before="0" w:after="100"/>
            </w:pPr>
            <w:r>
              <w:rPr>
                <w:rFonts w:ascii="Arial" w:cs="Arial" w:eastAsia="Arial" w:hAnsi="Arial"/>
                <w:color w:val="1A1A1A"/>
                <w:sz w:val="20"/>
                <w:szCs w:val="20"/>
              </w:rPr>
              <w:t xml:space="preserve">The BRD uses USD and INR interchangeably in examples but defines no currency framework. If Traventions onboards TMCs from multiple countries (which is implied by the 'global' nature of the platform and international routes shown), there must be a defined approach to: which currency wallets are held in, how supplier invoices in different currencies are processed, how forex conversion rates are applied, and how tax compliance works across different jurisdictions.</w:t>
            </w:r>
          </w:p>
          <w:p>
            <w:pPr>
              <w:spacing w:before="60" w:after="60"/>
            </w:pPr>
            <w:r>
              <w:rPr>
                <w:rFonts w:ascii="Arial" w:cs="Arial" w:eastAsia="Arial" w:hAnsi="Arial"/>
                <w:b/>
                <w:bCs/>
                <w:color w:val="2E75B6"/>
                <w:sz w:val="20"/>
                <w:szCs w:val="20"/>
              </w:rPr>
              <w:t xml:space="preserve">Proposed Solution</w:t>
            </w:r>
          </w:p>
          <w:p>
            <w:pPr>
              <w:spacing w:before="0" w:after="100"/>
            </w:pPr>
            <w:r>
              <w:rPr>
                <w:rFonts w:ascii="Arial" w:cs="Arial" w:eastAsia="Arial" w:hAnsi="Arial"/>
                <w:color w:val="1A1A1A"/>
                <w:sz w:val="20"/>
                <w:szCs w:val="20"/>
              </w:rPr>
              <w:t xml:space="preserve">Define a Currency Framework for the platform — even if Phase 1 is India-only (INR), the architecture should not preclude international expansion. Document the Phase 1 currency scope clearly and design the data model to support multi-currency in Phase 2.</w:t>
            </w:r>
          </w:p>
          <w:p>
            <w:pPr>
              <w:spacing w:before="60" w:after="60"/>
            </w:pPr>
            <w:r>
              <w:rPr>
                <w:rFonts w:ascii="Arial" w:cs="Arial" w:eastAsia="Arial" w:hAnsi="Arial"/>
                <w:b/>
                <w:bCs/>
                <w:color w:val="2E75B6"/>
                <w:sz w:val="20"/>
                <w:szCs w:val="20"/>
              </w:rPr>
              <w:t xml:space="preserve">Implementation Steps</w:t>
            </w:r>
          </w:p>
          <w:p>
            <w:pPr>
              <w:pStyle w:val="ListParagraph"/>
              <w:numPr>
                <w:ilvl w:val="0"/>
                <w:numId w:val="2"/>
              </w:numPr>
              <w:spacing w:before="40" w:after="40"/>
            </w:pPr>
            <w:r>
              <w:rPr>
                <w:rFonts w:ascii="Arial" w:cs="Arial" w:eastAsia="Arial" w:hAnsi="Arial"/>
                <w:color w:val="1A1A1A"/>
                <w:sz w:val="20"/>
                <w:szCs w:val="20"/>
              </w:rPr>
              <w:t xml:space="preserve">Phase 1 decision: document explicitly in the BRD that the platform supports INR only in Phase 1. All wallets, credit limits, invoices, and reports are in INR.</w:t>
            </w:r>
          </w:p>
          <w:p>
            <w:pPr>
              <w:pStyle w:val="ListParagraph"/>
              <w:numPr>
                <w:ilvl w:val="0"/>
                <w:numId w:val="2"/>
              </w:numPr>
              <w:spacing w:before="40" w:after="40"/>
            </w:pPr>
            <w:r>
              <w:rPr>
                <w:rFonts w:ascii="Arial" w:cs="Arial" w:eastAsia="Arial" w:hAnsi="Arial"/>
                <w:color w:val="1A1A1A"/>
                <w:sz w:val="20"/>
                <w:szCs w:val="20"/>
              </w:rPr>
              <w:t xml:space="preserve">Design the financial data model with a 'currency' field on all monetary transactions from day one — even if only INR is used initially, this prevents a costly migration in Phase 2.</w:t>
            </w:r>
          </w:p>
          <w:p>
            <w:pPr>
              <w:pStyle w:val="ListParagraph"/>
              <w:numPr>
                <w:ilvl w:val="0"/>
                <w:numId w:val="2"/>
              </w:numPr>
              <w:spacing w:before="40" w:after="40"/>
            </w:pPr>
            <w:r>
              <w:rPr>
                <w:rFonts w:ascii="Arial" w:cs="Arial" w:eastAsia="Arial" w:hAnsi="Arial"/>
                <w:color w:val="1A1A1A"/>
                <w:sz w:val="20"/>
                <w:szCs w:val="20"/>
              </w:rPr>
              <w:t xml:space="preserve">For international bookings (flights priced in USD by GDS): define the conversion mechanism — real-time forex rate from a provider (e.g., Open Exchange Rates API), the rate refresh frequency (daily or at time of booking), and who bears the forex risk (platform or TMC).</w:t>
            </w:r>
          </w:p>
          <w:p>
            <w:pPr>
              <w:pStyle w:val="ListParagraph"/>
              <w:numPr>
                <w:ilvl w:val="0"/>
                <w:numId w:val="2"/>
              </w:numPr>
              <w:spacing w:before="40" w:after="40"/>
            </w:pPr>
            <w:r>
              <w:rPr>
                <w:rFonts w:ascii="Arial" w:cs="Arial" w:eastAsia="Arial" w:hAnsi="Arial"/>
                <w:color w:val="1A1A1A"/>
                <w:sz w:val="20"/>
                <w:szCs w:val="20"/>
              </w:rPr>
              <w:t xml:space="preserve">Display the forex rate used in the booking confirmation and invoice when a currency conversion is applied.</w:t>
            </w:r>
          </w:p>
          <w:p>
            <w:pPr>
              <w:pStyle w:val="ListParagraph"/>
              <w:numPr>
                <w:ilvl w:val="0"/>
                <w:numId w:val="2"/>
              </w:numPr>
              <w:spacing w:before="40" w:after="40"/>
            </w:pPr>
            <w:r>
              <w:rPr>
                <w:rFonts w:ascii="Arial" w:cs="Arial" w:eastAsia="Arial" w:hAnsi="Arial"/>
                <w:color w:val="1A1A1A"/>
                <w:sz w:val="20"/>
                <w:szCs w:val="20"/>
              </w:rPr>
              <w:t xml:space="preserve">Phase 2: introduce multi-currency wallet support. Each TMC can hold balances in their home currency; the platform converts at booking time using the configured rate with a transparent markup.</w:t>
            </w:r>
          </w:p>
          <w:p>
            <w:pPr>
              <w:pStyle w:val="ListParagraph"/>
              <w:numPr>
                <w:ilvl w:val="0"/>
                <w:numId w:val="2"/>
              </w:numPr>
              <w:spacing w:before="40" w:after="40"/>
            </w:pPr>
            <w:r>
              <w:rPr>
                <w:rFonts w:ascii="Arial" w:cs="Arial" w:eastAsia="Arial" w:hAnsi="Arial"/>
                <w:color w:val="1A1A1A"/>
                <w:sz w:val="20"/>
                <w:szCs w:val="20"/>
              </w:rPr>
              <w:t xml:space="preserve">Define tax jurisdiction rules: Phase 1 India GST; Phase 2 extend to other jurisdictions.</w:t>
            </w:r>
          </w:p>
          <w:p>
            <w:pPr>
              <w:pStyle w:val="ListParagraph"/>
              <w:numPr>
                <w:ilvl w:val="0"/>
                <w:numId w:val="2"/>
              </w:numPr>
              <w:spacing w:before="40" w:after="40"/>
            </w:pPr>
            <w:r>
              <w:rPr>
                <w:rFonts w:ascii="Arial" w:cs="Arial" w:eastAsia="Arial" w:hAnsi="Arial"/>
                <w:color w:val="1A1A1A"/>
                <w:sz w:val="20"/>
                <w:szCs w:val="20"/>
              </w:rPr>
              <w:t xml:space="preserve">Ensure all financial reports can filter or group by currency in Phase 2.</w:t>
            </w:r>
          </w:p>
        </w:tc>
      </w:tr>
    </w:tbl>
    <w:p>
      <w:pPr>
        <w:spacing w:before="200" w:after="0"/>
      </w:pPr>
    </w:p>
    <w:p>
      <w:r>
        <w:br w:type="page"/>
      </w:r>
    </w:p>
    <w:p>
      <w:pPr>
        <w:pStyle w:val="Heading1"/>
        <w:pBdr>
          <w:bottom w:val="single" w:color="2E75B6" w:sz="6" w:space="1"/>
        </w:pBdr>
        <w:spacing w:before="360" w:after="120"/>
      </w:pPr>
      <w:r>
        <w:rPr>
          <w:rFonts w:ascii="Arial" w:cs="Arial" w:eastAsia="Arial" w:hAnsi="Arial"/>
          <w:b/>
          <w:bCs/>
          <w:color w:val="1B4F8A"/>
          <w:sz w:val="36"/>
          <w:szCs w:val="36"/>
        </w:rPr>
        <w:t xml:space="preserve">Summary &amp; Prioritisation</w:t>
      </w:r>
    </w:p>
    <w:p>
      <w:pPr>
        <w:spacing w:before="60" w:after="100"/>
      </w:pPr>
      <w:r>
        <w:rPr>
          <w:rFonts w:ascii="Arial" w:cs="Arial" w:eastAsia="Arial" w:hAnsi="Arial"/>
          <w:color w:val="1A1A1A"/>
          <w:sz w:val="20"/>
          <w:szCs w:val="20"/>
        </w:rPr>
        <w:t xml:space="preserve">The table below summarises all 14 gaps by recommended implementation priority. Critical gaps (GAP-01, 06, 09) must be resolved before Phase 1 launch. High-severity gaps should be addressed in Phase 1 or early Phase 2. Medium-severity gaps are recommended for Phase 2.</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1600"/>
        <w:gridCol w:w="2660"/>
      </w:tblGrid>
      <w:tr>
        <w:tc>
          <w:tcPr>
            <w:tcW w:type="dxa" w:w="9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4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Gap Title</w:t>
            </w:r>
          </w:p>
        </w:tc>
        <w:tc>
          <w:tcPr>
            <w:tcW w:type="dxa" w:w="1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26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Target Phase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4F8A"/>
                <w:sz w:val="16"/>
                <w:szCs w:val="16"/>
              </w:rPr>
              <w:t xml:space="preserve">GAP-01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KYC Document Verification Mechanism</w:t>
            </w:r>
          </w:p>
        </w:tc>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05900"/>
                <w:sz w:val="16"/>
                <w:szCs w:val="16"/>
              </w:rPr>
              <w:t xml:space="preserve">Critical</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Phase 1 — Pre-Launch</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4F8A"/>
                <w:sz w:val="16"/>
                <w:szCs w:val="16"/>
              </w:rPr>
              <w:t xml:space="preserve">GAP-06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Booking Agent Emergency Override (2FA)</w:t>
            </w:r>
          </w:p>
        </w:tc>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05900"/>
                <w:sz w:val="16"/>
                <w:szCs w:val="16"/>
              </w:rPr>
              <w:t xml:space="preserve">Critical</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Phase 1 — Pre-Launch</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4F8A"/>
                <w:sz w:val="16"/>
                <w:szCs w:val="16"/>
              </w:rPr>
              <w:t xml:space="preserve">GAP-09</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Driver-to-TMC Connection / Cab Supply Chain</w:t>
            </w:r>
          </w:p>
        </w:tc>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05900"/>
                <w:sz w:val="16"/>
                <w:szCs w:val="16"/>
              </w:rPr>
              <w:t xml:space="preserve">Critical</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Phase 1 — Pre-Launch</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4F8A"/>
                <w:sz w:val="16"/>
                <w:szCs w:val="16"/>
              </w:rPr>
              <w:t xml:space="preserve">GAP-02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Trip Bundle Builder</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2E75B6"/>
                <w:sz w:val="16"/>
                <w:szCs w:val="16"/>
              </w:rPr>
              <w:t xml:space="preserve">High</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Phase 1</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4F8A"/>
                <w:sz w:val="16"/>
                <w:szCs w:val="16"/>
              </w:rPr>
              <w:t xml:space="preserve">GAP-03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Net Profit Display at Booking</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2E75B6"/>
                <w:sz w:val="16"/>
                <w:szCs w:val="16"/>
              </w:rPr>
              <w:t xml:space="preserve">High</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Phase 1</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4F8A"/>
                <w:sz w:val="16"/>
                <w:szCs w:val="16"/>
              </w:rPr>
              <w:t xml:space="preserve">GAP-04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Agent Performance Metrics &amp; Fraud KPIs</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2E75B6"/>
                <w:sz w:val="16"/>
                <w:szCs w:val="16"/>
              </w:rPr>
              <w:t xml:space="preserve">High</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Phase 1–2</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4F8A"/>
                <w:sz w:val="16"/>
                <w:szCs w:val="16"/>
              </w:rPr>
              <w:t xml:space="preserve">GAP-05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Automated Disruption Management (Delays)</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2E75B6"/>
                <w:sz w:val="16"/>
                <w:szCs w:val="16"/>
              </w:rPr>
              <w:t xml:space="preserve">High</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Phase 1–2</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4F8A"/>
                <w:sz w:val="16"/>
                <w:szCs w:val="16"/>
              </w:rPr>
              <w:t xml:space="preserve">GAP-10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Price Fluctuation Auto-Approval &amp; Delegation</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2E75B6"/>
                <w:sz w:val="16"/>
                <w:szCs w:val="16"/>
              </w:rPr>
              <w:t xml:space="preserve">High</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Phase 1</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4F8A"/>
                <w:sz w:val="16"/>
                <w:szCs w:val="16"/>
              </w:rPr>
              <w:t xml:space="preserve">GAP-11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Credit vs. Wallet Separation &amp; Rules</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2E75B6"/>
                <w:sz w:val="16"/>
                <w:szCs w:val="16"/>
              </w:rPr>
              <w:t xml:space="preserve">High</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Phase 1</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4F8A"/>
                <w:sz w:val="16"/>
                <w:szCs w:val="16"/>
              </w:rPr>
              <w:t xml:space="preserve">GAP-12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Fraud Detection &amp; Anomaly Alerts</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2E75B6"/>
                <w:sz w:val="16"/>
                <w:szCs w:val="16"/>
              </w:rPr>
              <w:t xml:space="preserve">High</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Phase 1–2</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4F8A"/>
                <w:sz w:val="16"/>
                <w:szCs w:val="16"/>
              </w:rPr>
              <w:t xml:space="preserve">GAP-07</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Traventions Platform Support for TMC Admins</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1D6837"/>
                <w:sz w:val="16"/>
                <w:szCs w:val="16"/>
              </w:rPr>
              <w:t xml:space="preserve">Medium</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Phase 2</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4F8A"/>
                <w:sz w:val="16"/>
                <w:szCs w:val="16"/>
              </w:rPr>
              <w:t xml:space="preserve">GAP-08</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Post-Booking Baggage Add-On</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1D6837"/>
                <w:sz w:val="16"/>
                <w:szCs w:val="16"/>
              </w:rPr>
              <w:t xml:space="preserve">Medium</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Phase 2</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4F8A"/>
                <w:sz w:val="16"/>
                <w:szCs w:val="16"/>
              </w:rPr>
              <w:t xml:space="preserve">GAP-13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Session Timeout &amp; Draft Auto-Save</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1D6837"/>
                <w:sz w:val="16"/>
                <w:szCs w:val="16"/>
              </w:rPr>
              <w:t xml:space="preserve">Medium</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Phase 1</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4F8A"/>
                <w:sz w:val="16"/>
                <w:szCs w:val="16"/>
              </w:rPr>
              <w:t xml:space="preserve">GAP-14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Multi-Currency Framework</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1D6837"/>
                <w:sz w:val="16"/>
                <w:szCs w:val="16"/>
              </w:rPr>
              <w:t xml:space="preserve">Medium</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Phase 2–3</w:t>
            </w:r>
          </w:p>
        </w:tc>
      </w:tr>
    </w:tbl>
    <w:p>
      <w:pPr>
        <w:spacing w:before="200" w:after="0"/>
      </w:pPr>
    </w:p>
    <w:p>
      <w:pPr>
        <w:spacing w:before="60" w:after="100"/>
      </w:pPr>
      <w:r>
        <w:rPr>
          <w:rFonts w:ascii="Arial" w:cs="Arial" w:eastAsia="Arial" w:hAnsi="Arial"/>
          <w:color w:val="1A1A1A"/>
          <w:sz w:val="20"/>
          <w:szCs w:val="20"/>
        </w:rPr>
        <w:t xml:space="preserve">This document should be reviewed and signed off by the Product Lead, Tech Lead, and Operations Head before Phase 1 development begins. Each gap should be assigned a JIRA ticket with the relevant owner and target sprint.</w:t>
      </w:r>
    </w:p>
    <w:p>
      <w:pPr>
        <w:spacing w:before="80" w:after="0"/>
      </w:pPr>
    </w:p>
    <w:p>
      <w:pPr>
        <w:spacing w:before="60" w:after="100"/>
      </w:pPr>
      <w:r>
        <w:rPr>
          <w:rFonts w:ascii="Arial" w:cs="Arial" w:eastAsia="Arial" w:hAnsi="Arial"/>
          <w:i/>
          <w:iCs/>
          <w:color w:val="595959"/>
          <w:sz w:val="18"/>
          <w:szCs w:val="18"/>
        </w:rPr>
        <w:t xml:space="preserve">Document prepared based on Traventions Simplified BRD v1.0. For queries contact the Product Team.</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right"/>
    </w:pPr>
    <w:r>
      <w:rPr>
        <w:rFonts w:ascii="Arial" w:cs="Arial" w:eastAsia="Arial" w:hAnsi="Arial"/>
        <w:color w:val="595959"/>
        <w:sz w:val="16"/>
        <w:szCs w:val="16"/>
      </w:rPr>
      <w:t xml:space="preserve">Traventions Platform — Gap Analysis Document   |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b/>
        <w:bCs/>
        <w:color w:val="1B4F8A"/>
        <w:sz w:val="18"/>
        <w:szCs w:val="18"/>
      </w:rPr>
      <w:t xml:space="preserve">TRAVENTIONS — BRD GAPS &amp; RECOMMENDATIONS</w:t>
    </w:r>
    <w:r>
      <w:rPr>
        <w:rFonts w:ascii="Arial" w:cs="Arial" w:eastAsia="Arial" w:hAnsi="Arial"/>
        <w:color w:val="595959"/>
        <w:sz w:val="18"/>
        <w:szCs w:val="18"/>
      </w:rPr>
      <w:t xml:space="preserve">   |   CONFIDENTIAL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4F8A"/>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1B4F8A"/>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2026-03-24T06:17:50.466Z</dcterms:created>
  <dcterms:modified xsi:type="dcterms:W3CDTF">2026-03-24T06:17:50.467Z</dcterms:modified>
</cp:coreProperties>
</file>

<file path=docProps/custom.xml><?xml version="1.0" encoding="utf-8"?>
<Properties xmlns="http://schemas.openxmlformats.org/officeDocument/2006/custom-properties" xmlns:vt="http://schemas.openxmlformats.org/officeDocument/2006/docPropsVTypes"/>
</file>