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sz w:val="2"/>
          <w:szCs w:val="2"/>
        </w:rPr>
        <w:t xml:space="preserve"/>
      </w:r>
    </w:p>
    <w:p>
      <w:pPr>
        <w:spacing w:after="60" w:before="0"/>
        <w:jc w:val="center"/>
      </w:pPr>
      <w:r>
        <w:rPr>
          <w:rFonts w:ascii="Arial" w:cs="Arial" w:eastAsia="Arial" w:hAnsi="Arial"/>
          <w:b/>
          <w:bCs/>
          <w:color w:val="CC0000"/>
          <w:sz w:val="48"/>
          <w:szCs w:val="48"/>
        </w:rPr>
        <w:t xml:space="preserve">EARLY ADOPTER AGREEMENT</w:t>
      </w:r>
    </w:p>
    <w:p>
      <w:pPr>
        <w:spacing w:after="60" w:before="0"/>
        <w:jc w:val="center"/>
      </w:pPr>
      <w:r>
        <w:rPr>
          <w:rFonts w:ascii="Arial" w:cs="Arial" w:eastAsia="Arial" w:hAnsi="Arial"/>
          <w:color w:val="666666"/>
          <w:sz w:val="22"/>
          <w:szCs w:val="22"/>
        </w:rPr>
        <w:t xml:space="preserve">CUBO FRM Platform  ·  Apex Music Latino</w:t>
      </w:r>
    </w:p>
    <w:p>
      <w:pPr>
        <w:pBdr>
          <w:bottom w:val="single" w:color="CC0000" w:sz="30"/>
        </w:pBdr>
        <w:spacing w:after="180" w:before="60"/>
      </w:pPr>
      <w:r>
        <w:rPr>
          <w:sz w:val="4"/>
          <w:szCs w:val="4"/>
        </w:rPr>
        <w:t xml:space="preserve"> </w:t>
      </w:r>
    </w:p>
    <w:p>
      <w:pPr>
        <w:spacing w:after="200" w:before="0"/>
        <w:jc w:val="center"/>
      </w:pPr>
      <w:r>
        <w:rPr>
          <w:rFonts w:ascii="Arial" w:cs="Arial" w:eastAsia="Arial" w:hAnsi="Arial"/>
          <w:b/>
          <w:bCs/>
          <w:color w:val="CC0000"/>
          <w:sz w:val="20"/>
          <w:szCs w:val="20"/>
        </w:rPr>
        <w:t xml:space="preserve">BETA PHASE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0000" w:sz="6"/>
              <w:left w:val="single" w:color="CCCCCC" w:sz="2"/>
              <w:bottom w:val="single" w:color="CCCCCC" w:sz="2"/>
              <w:right w:val="single" w:color="CCCCCC" w:sz="2"/>
            </w:tcBorders>
            <w:shd w:fill="FFF5F5" w:val="clear"/>
            <w:tcMar>
              <w:top w:type="dxa" w:w="200"/>
              <w:left w:type="dxa" w:w="240"/>
              <w:bottom w:type="dxa" w:w="200"/>
              <w:right w:type="dxa" w:w="240"/>
            </w:tcMar>
          </w:tcPr>
          <w:p>
            <w:pPr>
              <w:spacing w:after="80"/>
            </w:pPr>
            <w:r>
              <w:rPr>
                <w:rFonts w:ascii="Arial" w:cs="Arial" w:eastAsia="Arial" w:hAnsi="Arial"/>
                <w:b/>
                <w:bCs/>
                <w:color w:val="CC0000"/>
                <w:sz w:val="18"/>
                <w:szCs w:val="18"/>
              </w:rPr>
              <w:t xml:space="preserve">SERVICE PROVIDER</w:t>
            </w:r>
          </w:p>
          <w:p>
            <w:pPr>
              <w:spacing w:after="60"/>
            </w:pPr>
            <w:r>
              <w:rPr>
                <w:rFonts w:ascii="Arial" w:cs="Arial" w:eastAsia="Arial" w:hAnsi="Arial"/>
                <w:b/>
                <w:bCs/>
                <w:color w:val="333333"/>
                <w:sz w:val="22"/>
                <w:szCs w:val="22"/>
              </w:rPr>
              <w:t xml:space="preserve">Apex Music Latino</w:t>
            </w:r>
          </w:p>
          <w:p>
            <w:pPr>
              <w:spacing w:after="40"/>
            </w:pPr>
            <w:r>
              <w:rPr>
                <w:rFonts w:ascii="Arial" w:cs="Arial" w:eastAsia="Arial" w:hAnsi="Arial"/>
                <w:color w:val="666666"/>
                <w:sz w:val="18"/>
                <w:szCs w:val="18"/>
              </w:rPr>
              <w:t xml:space="preserve">A Datos Maestros Company</w:t>
            </w:r>
          </w:p>
          <w:p>
            <w:pPr>
              <w:spacing w:after="40"/>
            </w:pPr>
            <w:r>
              <w:rPr>
                <w:rFonts w:ascii="Arial" w:cs="Arial" w:eastAsia="Arial" w:hAnsi="Arial"/>
                <w:color w:val="333333"/>
                <w:sz w:val="18"/>
                <w:szCs w:val="18"/>
              </w:rPr>
              <w:t xml:space="preserve">NIT: 9013995485</w:t>
            </w:r>
          </w:p>
          <w:p>
            <w:pPr>
              <w:spacing w:after="40"/>
            </w:pPr>
            <w:r>
              <w:rPr>
                <w:rFonts w:ascii="Arial" w:cs="Arial" w:eastAsia="Arial" w:hAnsi="Arial"/>
                <w:color w:val="333333"/>
                <w:sz w:val="18"/>
                <w:szCs w:val="18"/>
              </w:rPr>
              <w:t xml:space="preserve">+57 318 717 3584</w:t>
            </w:r>
          </w:p>
          <w:p>
            <w:r>
              <w:rPr>
                <w:rFonts w:ascii="Arial" w:cs="Arial" w:eastAsia="Arial" w:hAnsi="Arial"/>
                <w:color w:val="CC0000"/>
                <w:sz w:val="18"/>
                <w:szCs w:val="18"/>
              </w:rPr>
              <w:t xml:space="preserve">apexmusiclatino.com</w:t>
            </w:r>
          </w:p>
        </w:tc>
        <w:tc>
          <w:tcPr>
            <w:tcW w:type="dxa" w:w="4760"/>
            <w:tcBorders>
              <w:top w:val="single" w:color="CC0000" w:sz="6"/>
              <w:left w:val="single" w:color="CCCCCC" w:sz="2"/>
              <w:bottom w:val="single" w:color="CCCCCC" w:sz="2"/>
              <w:right w:val="single" w:color="CCCCCC" w:sz="2"/>
            </w:tcBorders>
            <w:shd w:fill="F5F5F5" w:val="clear"/>
            <w:tcMar>
              <w:top w:type="dxa" w:w="200"/>
              <w:left w:type="dxa" w:w="240"/>
              <w:bottom w:type="dxa" w:w="200"/>
              <w:right w:type="dxa" w:w="240"/>
            </w:tcMar>
          </w:tcPr>
          <w:p>
            <w:pPr>
              <w:spacing w:after="80"/>
            </w:pPr>
            <w:r>
              <w:rPr>
                <w:rFonts w:ascii="Arial" w:cs="Arial" w:eastAsia="Arial" w:hAnsi="Arial"/>
                <w:b/>
                <w:bCs/>
                <w:color w:val="CC0000"/>
                <w:sz w:val="18"/>
                <w:szCs w:val="18"/>
              </w:rPr>
              <w:t xml:space="preserve">ARTIST / EARLY ADOPTER</w:t>
            </w:r>
          </w:p>
          <w:p>
            <w:pPr>
              <w:spacing w:after="60"/>
            </w:pPr>
            <w:r>
              <w:rPr>
                <w:rFonts w:ascii="Arial" w:cs="Arial" w:eastAsia="Arial" w:hAnsi="Arial"/>
                <w:b/>
                <w:bCs/>
                <w:color w:val="333333"/>
                <w:sz w:val="22"/>
                <w:szCs w:val="22"/>
              </w:rPr>
              <w:t xml:space="preserve">Jhon Acevedo</w:t>
            </w:r>
          </w:p>
          <w:p>
            <w:pPr>
              <w:spacing w:after="40"/>
            </w:pPr>
            <w:r>
              <w:rPr>
                <w:rFonts w:ascii="Arial" w:cs="Arial" w:eastAsia="Arial" w:hAnsi="Arial"/>
                <w:color w:val="333333"/>
                <w:sz w:val="18"/>
                <w:szCs w:val="18"/>
              </w:rPr>
              <w:t xml:space="preserve">Artist  —  Arco Iris Tango</w:t>
            </w:r>
          </w:p>
          <w:p>
            <w:pPr>
              <w:spacing w:after="40"/>
            </w:pPr>
            <w:r>
              <w:rPr>
                <w:rFonts w:ascii="Arial" w:cs="Arial" w:eastAsia="Arial" w:hAnsi="Arial"/>
                <w:color w:val="333333"/>
                <w:sz w:val="18"/>
                <w:szCs w:val="18"/>
              </w:rPr>
              <w:t xml:space="preserve">CC: ___________________</w:t>
            </w:r>
          </w:p>
          <w:p>
            <w:r>
              <w:rPr>
                <w:rFonts w:ascii="Arial" w:cs="Arial" w:eastAsia="Arial" w:hAnsi="Arial"/>
                <w:color w:val="CC0000"/>
                <w:sz w:val="16"/>
                <w:szCs w:val="16"/>
              </w:rPr>
              <w:t xml:space="preserve">apexmusiclatino.com/genre/tango/arcoiris/</w:t>
            </w:r>
          </w:p>
        </w:tc>
      </w:tr>
    </w:tbl>
    <w:p>
      <w:pPr>
        <w:spacing w:after="200" w:before="0"/>
      </w:pPr>
      <w:r>
        <w:rPr>
          <w:sz w:val="2"/>
          <w:szCs w:val="2"/>
        </w:rPr>
        <w:t xml:space="preserve"/>
      </w:r>
    </w:p>
    <w:p>
      <w:pPr>
        <w:spacing w:after="60"/>
        <w:jc w:val="center"/>
      </w:pPr>
      <w:r>
        <w:rPr>
          <w:rFonts w:ascii="Arial" w:cs="Arial" w:eastAsia="Arial" w:hAnsi="Arial"/>
          <w:color w:val="333333"/>
          <w:sz w:val="20"/>
          <w:szCs w:val="20"/>
        </w:rPr>
        <w:t xml:space="preserve">Effective Date: _____ of ______________ , 2026</w:t>
      </w:r>
    </w:p>
    <w:p>
      <w:pPr>
        <w:spacing w:after="200"/>
        <w:jc w:val="center"/>
      </w:pPr>
      <w:r>
        <w:rPr>
          <w:rFonts w:ascii="Arial" w:cs="Arial" w:eastAsia="Arial" w:hAnsi="Arial"/>
          <w:i/>
          <w:iCs/>
          <w:color w:val="666666"/>
          <w:sz w:val="20"/>
          <w:szCs w:val="20"/>
        </w:rPr>
        <w:t xml:space="preserve">"We don't just sign artists. We turn them into companies."</w:t>
      </w:r>
    </w:p>
    <w:p>
      <w:pPr>
        <w:pBdr>
          <w:bottom w:val="single" w:color="CC0000" w:sz="8"/>
        </w:pBdr>
        <w:spacing w:after="120" w:before="320"/>
      </w:pPr>
      <w:r>
        <w:rPr>
          <w:rFonts w:ascii="Arial" w:cs="Arial" w:eastAsia="Arial" w:hAnsi="Arial"/>
          <w:b/>
          <w:bCs/>
          <w:color w:val="CC0000"/>
          <w:sz w:val="24"/>
          <w:szCs w:val="24"/>
        </w:rPr>
        <w:t xml:space="preserve">RECITALS</w:t>
      </w:r>
    </w:p>
    <w:p>
      <w:pPr>
        <w:spacing w:after="60" w:before="60"/>
        <w:jc w:val="both"/>
      </w:pPr>
      <w:r>
        <w:rPr>
          <w:rFonts w:ascii="Arial" w:cs="Arial" w:eastAsia="Arial" w:hAnsi="Arial"/>
          <w:color w:val="333333"/>
          <w:sz w:val="20"/>
          <w:szCs w:val="20"/>
        </w:rPr>
        <w:t xml:space="preserve">WHEREAS Apex Music Latino (hereinafter AML) is a technology company specializing in artist management services, fan data capture platforms, digital marketing and content distribution, operating under the proprietary CUBO FRM (Fan Relationship Manager) platform;</w:t>
      </w:r>
    </w:p>
    <w:p>
      <w:pPr>
        <w:spacing w:after="60" w:before="0"/>
      </w:pPr>
      <w:r>
        <w:rPr>
          <w:sz w:val="2"/>
          <w:szCs w:val="2"/>
        </w:rPr>
        <w:t xml:space="preserve"/>
      </w:r>
    </w:p>
    <w:p>
      <w:pPr>
        <w:spacing w:after="60" w:before="60"/>
        <w:jc w:val="both"/>
      </w:pPr>
      <w:r>
        <w:rPr>
          <w:rFonts w:ascii="Arial" w:cs="Arial" w:eastAsia="Arial" w:hAnsi="Arial"/>
          <w:color w:val="333333"/>
          <w:sz w:val="20"/>
          <w:szCs w:val="20"/>
        </w:rPr>
        <w:t xml:space="preserve">WHEREAS Jhon Acevedo (hereinafter the Artist) is an artist and member of the Arco Iris Tango project, currently in the development and positioning phase of his artistic career in the market;</w:t>
      </w:r>
    </w:p>
    <w:p>
      <w:pPr>
        <w:spacing w:after="60" w:before="0"/>
      </w:pPr>
      <w:r>
        <w:rPr>
          <w:sz w:val="2"/>
          <w:szCs w:val="2"/>
        </w:rPr>
        <w:t xml:space="preserve"/>
      </w:r>
    </w:p>
    <w:p>
      <w:pPr>
        <w:spacing w:after="60" w:before="60"/>
        <w:jc w:val="both"/>
      </w:pPr>
      <w:r>
        <w:rPr>
          <w:rFonts w:ascii="Arial" w:cs="Arial" w:eastAsia="Arial" w:hAnsi="Arial"/>
          <w:color w:val="333333"/>
          <w:sz w:val="20"/>
          <w:szCs w:val="20"/>
        </w:rPr>
        <w:t xml:space="preserve">WHEREAS both parties wish to establish the terms of an Early Adopter collaboration, whereby AML provides technology and marketing services, and the Artist actively participates as a beta user of said platforms;</w:t>
      </w:r>
    </w:p>
    <w:p>
      <w:pPr>
        <w:spacing w:after="60" w:before="0"/>
      </w:pPr>
      <w:r>
        <w:rPr>
          <w:sz w:val="2"/>
          <w:szCs w:val="2"/>
        </w:rPr>
        <w:t xml:space="preserve"/>
      </w:r>
    </w:p>
    <w:p>
      <w:pPr>
        <w:spacing w:after="60" w:before="60"/>
        <w:jc w:val="both"/>
      </w:pPr>
      <w:r>
        <w:rPr>
          <w:rFonts w:ascii="Arial" w:cs="Arial" w:eastAsia="Arial" w:hAnsi="Arial"/>
          <w:color w:val="333333"/>
          <w:sz w:val="20"/>
          <w:szCs w:val="20"/>
        </w:rPr>
        <w:t xml:space="preserve">THE PARTIES AGREE as follows:</w:t>
      </w:r>
    </w:p>
    <w:p>
      <w:pPr>
        <w:pBdr>
          <w:bottom w:val="single" w:color="CC0000" w:sz="8"/>
        </w:pBdr>
        <w:spacing w:after="120" w:before="320"/>
      </w:pPr>
      <w:r>
        <w:rPr>
          <w:rFonts w:ascii="Arial" w:cs="Arial" w:eastAsia="Arial" w:hAnsi="Arial"/>
          <w:b/>
          <w:bCs/>
          <w:color w:val="CC0000"/>
          <w:sz w:val="24"/>
          <w:szCs w:val="24"/>
        </w:rPr>
        <w:t xml:space="preserve">CLAUSE 1 — SCOPE OF AGREEMENT</w:t>
      </w:r>
    </w:p>
    <w:p>
      <w:pPr>
        <w:spacing w:after="60" w:before="60"/>
        <w:jc w:val="both"/>
      </w:pPr>
      <w:r>
        <w:rPr>
          <w:rFonts w:ascii="Arial" w:cs="Arial" w:eastAsia="Arial" w:hAnsi="Arial"/>
          <w:color w:val="333333"/>
          <w:sz w:val="20"/>
          <w:szCs w:val="20"/>
        </w:rPr>
        <w:t xml:space="preserve">This agreement establishes the terms and conditions under which Apex Music Latino provides Jhon Acevedo with priority access to its tools, platforms and services during the Beta Phase, in exchange for active feedback, participation in user testing, and fulfillment of the commitments set forth in Clause 4.</w:t>
      </w:r>
    </w:p>
    <w:p>
      <w:pPr>
        <w:spacing w:after="60" w:before="0"/>
      </w:pPr>
      <w:r>
        <w:rPr>
          <w:sz w:val="2"/>
          <w:szCs w:val="2"/>
        </w:rPr>
        <w:t xml:space="preserve"/>
      </w:r>
    </w:p>
    <w:p>
      <w:pPr>
        <w:spacing w:after="60" w:before="60"/>
        <w:jc w:val="both"/>
      </w:pPr>
      <w:r>
        <w:rPr>
          <w:rFonts w:ascii="Arial" w:cs="Arial" w:eastAsia="Arial" w:hAnsi="Arial"/>
          <w:color w:val="333333"/>
          <w:sz w:val="20"/>
          <w:szCs w:val="20"/>
        </w:rPr>
        <w:t xml:space="preserve">Services included during the early adoption period:</w:t>
      </w:r>
    </w:p>
    <w:p>
      <w:pPr>
        <w:spacing w:after="40" w:before="0"/>
      </w:pPr>
      <w:r>
        <w:rPr>
          <w:sz w:val="2"/>
          <w:szCs w:val="2"/>
        </w:rPr>
        <w:t xml:space="preserve"/>
      </w:r>
    </w:p>
    <w:p>
      <w:pPr>
        <w:pStyle w:val="ListParagraph"/>
        <w:numPr>
          <w:ilvl w:val="0"/>
          <w:numId w:val="2"/>
        </w:numPr>
        <w:spacing w:after="40" w:before="40"/>
      </w:pPr>
      <w:r>
        <w:rPr>
          <w:rFonts w:ascii="Arial" w:cs="Arial" w:eastAsia="Arial" w:hAnsi="Arial"/>
          <w:color w:val="333333"/>
          <w:sz w:val="20"/>
          <w:szCs w:val="20"/>
        </w:rPr>
        <w:t xml:space="preserve">Professional Landing Page / EPK at apexmusiclatino.com/genre/tango/arcoiris/</w:t>
      </w:r>
    </w:p>
    <w:p>
      <w:pPr>
        <w:pStyle w:val="ListParagraph"/>
        <w:numPr>
          <w:ilvl w:val="0"/>
          <w:numId w:val="2"/>
        </w:numPr>
        <w:spacing w:after="40" w:before="40"/>
      </w:pPr>
      <w:r>
        <w:rPr>
          <w:rFonts w:ascii="Arial" w:cs="Arial" w:eastAsia="Arial" w:hAnsi="Arial"/>
          <w:color w:val="333333"/>
          <w:sz w:val="20"/>
          <w:szCs w:val="20"/>
        </w:rPr>
        <w:t xml:space="preserve">Permanent fan capture QR code with a unique Fan ID for each registered fan</w:t>
      </w:r>
    </w:p>
    <w:p>
      <w:pPr>
        <w:pStyle w:val="ListParagraph"/>
        <w:numPr>
          <w:ilvl w:val="0"/>
          <w:numId w:val="2"/>
        </w:numPr>
        <w:spacing w:after="40" w:before="40"/>
      </w:pPr>
      <w:r>
        <w:rPr>
          <w:rFonts w:ascii="Arial" w:cs="Arial" w:eastAsia="Arial" w:hAnsi="Arial"/>
          <w:color w:val="333333"/>
          <w:sz w:val="20"/>
          <w:szCs w:val="20"/>
        </w:rPr>
        <w:t xml:space="preserve">Artist Portal (Backend) for managing content, shows, bio, discography and merch</w:t>
      </w:r>
    </w:p>
    <w:p>
      <w:pPr>
        <w:pStyle w:val="ListParagraph"/>
        <w:numPr>
          <w:ilvl w:val="0"/>
          <w:numId w:val="2"/>
        </w:numPr>
        <w:spacing w:after="40" w:before="40"/>
      </w:pPr>
      <w:r>
        <w:rPr>
          <w:rFonts w:ascii="Arial" w:cs="Arial" w:eastAsia="Arial" w:hAnsi="Arial"/>
          <w:color w:val="333333"/>
          <w:sz w:val="20"/>
          <w:szCs w:val="20"/>
        </w:rPr>
        <w:t xml:space="preserve">Access to the CUBO FRM system — Fan Relationship Manager with 360° database</w:t>
      </w:r>
    </w:p>
    <w:p>
      <w:pPr>
        <w:pStyle w:val="ListParagraph"/>
        <w:numPr>
          <w:ilvl w:val="0"/>
          <w:numId w:val="2"/>
        </w:numPr>
        <w:spacing w:after="40" w:before="40"/>
      </w:pPr>
      <w:r>
        <w:rPr>
          <w:rFonts w:ascii="Arial" w:cs="Arial" w:eastAsia="Arial" w:hAnsi="Arial"/>
          <w:color w:val="333333"/>
          <w:sz w:val="20"/>
          <w:szCs w:val="20"/>
        </w:rPr>
        <w:t xml:space="preserve">Shareable social media link with automatic fan data capture</w:t>
      </w:r>
    </w:p>
    <w:p>
      <w:pPr>
        <w:pStyle w:val="ListParagraph"/>
        <w:numPr>
          <w:ilvl w:val="0"/>
          <w:numId w:val="2"/>
        </w:numPr>
        <w:spacing w:after="40" w:before="40"/>
      </w:pPr>
      <w:r>
        <w:rPr>
          <w:rFonts w:ascii="Arial" w:cs="Arial" w:eastAsia="Arial" w:hAnsi="Arial"/>
          <w:color w:val="333333"/>
          <w:sz w:val="20"/>
          <w:szCs w:val="20"/>
        </w:rPr>
        <w:t xml:space="preserve">Technical support and accompaniment throughout the beta phase</w:t>
      </w:r>
    </w:p>
    <w:p>
      <w:pPr>
        <w:pStyle w:val="ListParagraph"/>
        <w:numPr>
          <w:ilvl w:val="0"/>
          <w:numId w:val="2"/>
        </w:numPr>
        <w:spacing w:after="40" w:before="40"/>
      </w:pPr>
      <w:r>
        <w:rPr>
          <w:rFonts w:ascii="Arial" w:cs="Arial" w:eastAsia="Arial" w:hAnsi="Arial"/>
          <w:color w:val="333333"/>
          <w:sz w:val="20"/>
          <w:szCs w:val="20"/>
        </w:rPr>
        <w:t xml:space="preserve">Automated 24-step communication system inbound/outbound — under development</w:t>
      </w:r>
    </w:p>
    <w:p>
      <w:pPr>
        <w:pStyle w:val="ListParagraph"/>
        <w:numPr>
          <w:ilvl w:val="0"/>
          <w:numId w:val="2"/>
        </w:numPr>
        <w:spacing w:after="40" w:before="40"/>
      </w:pPr>
      <w:r>
        <w:rPr>
          <w:rFonts w:ascii="Arial" w:cs="Arial" w:eastAsia="Arial" w:hAnsi="Arial"/>
          <w:color w:val="333333"/>
          <w:sz w:val="20"/>
          <w:szCs w:val="20"/>
        </w:rPr>
        <w:t xml:space="preserve">Advisory on content strategy and audience growth</w:t>
      </w:r>
    </w:p>
    <w:p>
      <w:pPr>
        <w:pBdr>
          <w:bottom w:val="single" w:color="CC0000" w:sz="8"/>
        </w:pBdr>
        <w:spacing w:after="120" w:before="320"/>
      </w:pPr>
      <w:r>
        <w:rPr>
          <w:rFonts w:ascii="Arial" w:cs="Arial" w:eastAsia="Arial" w:hAnsi="Arial"/>
          <w:b/>
          <w:bCs/>
          <w:color w:val="CC0000"/>
          <w:sz w:val="24"/>
          <w:szCs w:val="24"/>
        </w:rPr>
        <w:t xml:space="preserve">CLAUSE 2 — TERM</w:t>
      </w:r>
    </w:p>
    <w:p>
      <w:pPr>
        <w:spacing w:after="60" w:before="60"/>
        <w:jc w:val="both"/>
      </w:pPr>
      <w:r>
        <w:rPr>
          <w:rFonts w:ascii="Arial" w:cs="Arial" w:eastAsia="Arial" w:hAnsi="Arial"/>
          <w:color w:val="333333"/>
          <w:sz w:val="20"/>
          <w:szCs w:val="20"/>
        </w:rPr>
        <w:t xml:space="preserve">2.1  The Early Adoption period will have an initial duration of three (3) to four (4) months, counted from the date of signing this agreement (the Beta Period).</w:t>
      </w:r>
    </w:p>
    <w:p>
      <w:pPr>
        <w:spacing w:after="60" w:before="0"/>
      </w:pPr>
      <w:r>
        <w:rPr>
          <w:sz w:val="2"/>
          <w:szCs w:val="2"/>
        </w:rPr>
        <w:t xml:space="preserve"/>
      </w:r>
    </w:p>
    <w:p>
      <w:pPr>
        <w:spacing w:after="60" w:before="60"/>
        <w:jc w:val="both"/>
      </w:pPr>
      <w:r>
        <w:rPr>
          <w:rFonts w:ascii="Arial" w:cs="Arial" w:eastAsia="Arial" w:hAnsi="Arial"/>
          <w:color w:val="333333"/>
          <w:sz w:val="20"/>
          <w:szCs w:val="20"/>
        </w:rPr>
        <w:t xml:space="preserve">2.2  Upon completion of the Beta Period, the parties may agree in writing to renew the agreement under the terms of a standard service contract, with fees defined as set forth in Clause 5 of this document.</w:t>
      </w:r>
    </w:p>
    <w:p>
      <w:pPr>
        <w:spacing w:after="60" w:before="0"/>
      </w:pPr>
      <w:r>
        <w:rPr>
          <w:sz w:val="2"/>
          <w:szCs w:val="2"/>
        </w:rPr>
        <w:t xml:space="preserve"/>
      </w:r>
    </w:p>
    <w:p>
      <w:pPr>
        <w:spacing w:after="60" w:before="60"/>
        <w:jc w:val="both"/>
      </w:pPr>
      <w:r>
        <w:rPr>
          <w:rFonts w:ascii="Arial" w:cs="Arial" w:eastAsia="Arial" w:hAnsi="Arial"/>
          <w:color w:val="333333"/>
          <w:sz w:val="20"/>
          <w:szCs w:val="20"/>
        </w:rPr>
        <w:t xml:space="preserve">2.3  Either party may terminate this agreement with fifteen (15) calendar days prior written notice to the other party's official email, without needing to state cause.</w:t>
      </w:r>
    </w:p>
    <w:p>
      <w:pPr>
        <w:pBdr>
          <w:bottom w:val="single" w:color="CC0000" w:sz="8"/>
        </w:pBdr>
        <w:spacing w:after="120" w:before="320"/>
      </w:pPr>
      <w:r>
        <w:rPr>
          <w:rFonts w:ascii="Arial" w:cs="Arial" w:eastAsia="Arial" w:hAnsi="Arial"/>
          <w:b/>
          <w:bCs/>
          <w:color w:val="CC0000"/>
          <w:sz w:val="24"/>
          <w:szCs w:val="24"/>
        </w:rPr>
        <w:t xml:space="preserve">CLAUSE 3 — AML OBLIGATIONS</w:t>
      </w:r>
    </w:p>
    <w:p>
      <w:pPr>
        <w:pStyle w:val="ListParagraph"/>
        <w:numPr>
          <w:ilvl w:val="0"/>
          <w:numId w:val="2"/>
        </w:numPr>
        <w:spacing w:after="40" w:before="40"/>
      </w:pPr>
      <w:r>
        <w:rPr>
          <w:rFonts w:ascii="Arial" w:cs="Arial" w:eastAsia="Arial" w:hAnsi="Arial"/>
          <w:color w:val="333333"/>
          <w:sz w:val="20"/>
          <w:szCs w:val="20"/>
        </w:rPr>
        <w:t xml:space="preserve">Design, maintain and technically update the Artist's landing page and portal.</w:t>
      </w:r>
    </w:p>
    <w:p>
      <w:pPr>
        <w:pStyle w:val="ListParagraph"/>
        <w:numPr>
          <w:ilvl w:val="0"/>
          <w:numId w:val="2"/>
        </w:numPr>
        <w:spacing w:after="40" w:before="40"/>
      </w:pPr>
      <w:r>
        <w:rPr>
          <w:rFonts w:ascii="Arial" w:cs="Arial" w:eastAsia="Arial" w:hAnsi="Arial"/>
          <w:color w:val="333333"/>
          <w:sz w:val="20"/>
          <w:szCs w:val="20"/>
        </w:rPr>
        <w:t xml:space="preserve">Ensure the domain apexmusiclatino.com remains active and operational during the term. The Artist's own domain remains under the Artist's ownership and control.</w:t>
      </w:r>
    </w:p>
    <w:p>
      <w:pPr>
        <w:pStyle w:val="ListParagraph"/>
        <w:numPr>
          <w:ilvl w:val="0"/>
          <w:numId w:val="2"/>
        </w:numPr>
        <w:spacing w:after="40" w:before="40"/>
      </w:pPr>
      <w:r>
        <w:rPr>
          <w:rFonts w:ascii="Arial" w:cs="Arial" w:eastAsia="Arial" w:hAnsi="Arial"/>
          <w:color w:val="333333"/>
          <w:sz w:val="20"/>
          <w:szCs w:val="20"/>
        </w:rPr>
        <w:t xml:space="preserve">Provide technical support for errors, bugs and platform outages with a response time of no more than 48 business hours.</w:t>
      </w:r>
    </w:p>
    <w:p>
      <w:pPr>
        <w:pStyle w:val="ListParagraph"/>
        <w:numPr>
          <w:ilvl w:val="0"/>
          <w:numId w:val="2"/>
        </w:numPr>
        <w:spacing w:after="40" w:before="40"/>
      </w:pPr>
      <w:r>
        <w:rPr>
          <w:rFonts w:ascii="Arial" w:cs="Arial" w:eastAsia="Arial" w:hAnsi="Arial"/>
          <w:color w:val="333333"/>
          <w:sz w:val="20"/>
          <w:szCs w:val="20"/>
        </w:rPr>
        <w:t xml:space="preserve">Never publish, comment, follow or take any action on behalf of the Artist on his social media accounts without express written authorization.</w:t>
      </w:r>
    </w:p>
    <w:p>
      <w:pPr>
        <w:pStyle w:val="ListParagraph"/>
        <w:numPr>
          <w:ilvl w:val="0"/>
          <w:numId w:val="2"/>
        </w:numPr>
        <w:spacing w:after="40" w:before="40"/>
      </w:pPr>
      <w:r>
        <w:rPr>
          <w:rFonts w:ascii="Arial" w:cs="Arial" w:eastAsia="Arial" w:hAnsi="Arial"/>
          <w:color w:val="333333"/>
          <w:sz w:val="20"/>
          <w:szCs w:val="20"/>
        </w:rPr>
        <w:t xml:space="preserve">Fan data captured is the property of the Artist. AML serves as data processor and maintains security measures including AES-256 encryption. As an inherent part of the technical operation and continuous improvement of the CUBO FRM platform, AML will retain an anonymized and aggregated copy of the records generated, which may be used solely for statistical, technological development and service optimization purposes, without individual fan identification or linkage to the Artist's specific profile.</w:t>
      </w:r>
    </w:p>
    <w:p>
      <w:pPr>
        <w:pStyle w:val="ListParagraph"/>
        <w:numPr>
          <w:ilvl w:val="0"/>
          <w:numId w:val="2"/>
        </w:numPr>
        <w:spacing w:after="40" w:before="40"/>
      </w:pPr>
      <w:r>
        <w:rPr>
          <w:rFonts w:ascii="Arial" w:cs="Arial" w:eastAsia="Arial" w:hAnsi="Arial"/>
          <w:color w:val="333333"/>
          <w:sz w:val="20"/>
          <w:szCs w:val="20"/>
        </w:rPr>
        <w:t xml:space="preserve">Deliver performance reports and metrics on a periodic basis (minimum monthly).</w:t>
      </w:r>
    </w:p>
    <w:p>
      <w:pPr>
        <w:pStyle w:val="ListParagraph"/>
        <w:numPr>
          <w:ilvl w:val="0"/>
          <w:numId w:val="2"/>
        </w:numPr>
        <w:spacing w:after="40" w:before="40"/>
      </w:pPr>
      <w:r>
        <w:rPr>
          <w:rFonts w:ascii="Arial" w:cs="Arial" w:eastAsia="Arial" w:hAnsi="Arial"/>
          <w:color w:val="333333"/>
          <w:sz w:val="20"/>
          <w:szCs w:val="20"/>
        </w:rPr>
        <w:t xml:space="preserve">The instructional and visual design of the platform remains under AML's sole criteria and decision.</w:t>
      </w:r>
    </w:p>
    <w:p>
      <w:pPr>
        <w:pBdr>
          <w:bottom w:val="single" w:color="CC0000" w:sz="8"/>
        </w:pBdr>
        <w:spacing w:after="120" w:before="320"/>
      </w:pPr>
      <w:r>
        <w:rPr>
          <w:rFonts w:ascii="Arial" w:cs="Arial" w:eastAsia="Arial" w:hAnsi="Arial"/>
          <w:b/>
          <w:bCs/>
          <w:color w:val="CC0000"/>
          <w:sz w:val="24"/>
          <w:szCs w:val="24"/>
        </w:rPr>
        <w:t xml:space="preserve">CLAUSE 4 — ARTIST OBLIGATIONS</w:t>
      </w:r>
    </w:p>
    <w:p>
      <w:pPr>
        <w:spacing w:after="60" w:before="60"/>
        <w:jc w:val="both"/>
      </w:pPr>
      <w:r>
        <w:rPr>
          <w:rFonts w:ascii="Arial" w:cs="Arial" w:eastAsia="Arial" w:hAnsi="Arial"/>
          <w:color w:val="333333"/>
          <w:sz w:val="20"/>
          <w:szCs w:val="20"/>
        </w:rPr>
        <w:t xml:space="preserve">As an essential condition of this early adopter agreement, the Artist commits to:</w:t>
      </w:r>
    </w:p>
    <w:p>
      <w:pPr>
        <w:spacing w:after="40" w:before="0"/>
      </w:pPr>
      <w:r>
        <w:rPr>
          <w:sz w:val="2"/>
          <w:szCs w:val="2"/>
        </w:rPr>
        <w:t xml:space="preserve"/>
      </w:r>
    </w:p>
    <w:p>
      <w:pPr>
        <w:pStyle w:val="ListParagraph"/>
        <w:numPr>
          <w:ilvl w:val="0"/>
          <w:numId w:val="2"/>
        </w:numPr>
        <w:spacing w:after="40" w:before="40"/>
      </w:pPr>
      <w:r>
        <w:rPr>
          <w:rFonts w:ascii="Arial" w:cs="Arial" w:eastAsia="Arial" w:hAnsi="Arial"/>
          <w:color w:val="333333"/>
          <w:sz w:val="20"/>
          <w:szCs w:val="20"/>
        </w:rPr>
        <w:t xml:space="preserve">Update his artist portal with new content (shows, images, bio, music) at a minimum weekly frequency.</w:t>
      </w:r>
    </w:p>
    <w:p>
      <w:pPr>
        <w:pStyle w:val="ListParagraph"/>
        <w:numPr>
          <w:ilvl w:val="0"/>
          <w:numId w:val="2"/>
        </w:numPr>
        <w:spacing w:after="40" w:before="40"/>
      </w:pPr>
      <w:r>
        <w:rPr>
          <w:rFonts w:ascii="Arial" w:cs="Arial" w:eastAsia="Arial" w:hAnsi="Arial"/>
          <w:color w:val="333333"/>
          <w:sz w:val="20"/>
          <w:szCs w:val="20"/>
        </w:rPr>
        <w:t xml:space="preserve">Report technical errors, unexpected behavior or improvement suggestions to AML within 48 hours of identifying them.</w:t>
      </w:r>
    </w:p>
    <w:p>
      <w:pPr>
        <w:pStyle w:val="ListParagraph"/>
        <w:numPr>
          <w:ilvl w:val="0"/>
          <w:numId w:val="2"/>
        </w:numPr>
        <w:spacing w:after="40" w:before="40"/>
      </w:pPr>
      <w:r>
        <w:rPr>
          <w:rFonts w:ascii="Arial" w:cs="Arial" w:eastAsia="Arial" w:hAnsi="Arial"/>
          <w:color w:val="333333"/>
          <w:sz w:val="20"/>
          <w:szCs w:val="20"/>
        </w:rPr>
        <w:t xml:space="preserve">Actively use the QR code at events, printed materials and social media for fan capture.</w:t>
      </w:r>
    </w:p>
    <w:p>
      <w:pPr>
        <w:pStyle w:val="ListParagraph"/>
        <w:numPr>
          <w:ilvl w:val="0"/>
          <w:numId w:val="2"/>
        </w:numPr>
        <w:spacing w:after="40" w:before="40"/>
      </w:pPr>
      <w:r>
        <w:rPr>
          <w:rFonts w:ascii="Arial" w:cs="Arial" w:eastAsia="Arial" w:hAnsi="Arial"/>
          <w:color w:val="333333"/>
          <w:sz w:val="20"/>
          <w:szCs w:val="20"/>
        </w:rPr>
        <w:t xml:space="preserve">Provide monthly written feedback on the experience of using the CUBO FRM platform.</w:t>
      </w:r>
    </w:p>
    <w:p>
      <w:pPr>
        <w:pStyle w:val="ListParagraph"/>
        <w:numPr>
          <w:ilvl w:val="0"/>
          <w:numId w:val="2"/>
        </w:numPr>
        <w:spacing w:after="40" w:before="40"/>
      </w:pPr>
      <w:r>
        <w:rPr>
          <w:rFonts w:ascii="Arial" w:cs="Arial" w:eastAsia="Arial" w:hAnsi="Arial"/>
          <w:color w:val="333333"/>
          <w:sz w:val="20"/>
          <w:szCs w:val="20"/>
        </w:rPr>
        <w:t xml:space="preserve">Participate in at least one (1) monthly follow-up call with the AML team.</w:t>
      </w:r>
    </w:p>
    <w:p>
      <w:pPr>
        <w:pStyle w:val="ListParagraph"/>
        <w:numPr>
          <w:ilvl w:val="0"/>
          <w:numId w:val="2"/>
        </w:numPr>
        <w:spacing w:after="40" w:before="40"/>
      </w:pPr>
      <w:r>
        <w:rPr>
          <w:rFonts w:ascii="Arial" w:cs="Arial" w:eastAsia="Arial" w:hAnsi="Arial"/>
          <w:color w:val="333333"/>
          <w:sz w:val="20"/>
          <w:szCs w:val="20"/>
        </w:rPr>
        <w:t xml:space="preserve">Not share portal login credentials with unauthorized third parties.</w:t>
      </w:r>
    </w:p>
    <w:p>
      <w:pPr>
        <w:spacing w:after="80" w:before="0"/>
      </w:pPr>
      <w:r>
        <w:rPr>
          <w:sz w:val="2"/>
          <w:szCs w:val="2"/>
        </w:rPr>
        <w:t xml:space="preserve"/>
      </w:r>
    </w:p>
    <w:p>
      <w:pPr>
        <w:spacing w:after="60" w:before="60"/>
        <w:jc w:val="both"/>
      </w:pPr>
      <w:r>
        <w:rPr>
          <w:rFonts w:ascii="Arial" w:cs="Arial" w:eastAsia="Arial" w:hAnsi="Arial"/>
          <w:color w:val="333333"/>
          <w:sz w:val="20"/>
          <w:szCs w:val="20"/>
        </w:rPr>
        <w:t xml:space="preserve">Repeated failure to meet these commitments, without valid justification, may result in early termination of the agreement by AML, with seven (7) days prior notice.</w:t>
      </w:r>
    </w:p>
    <w:p>
      <w:pPr>
        <w:pBdr>
          <w:bottom w:val="single" w:color="CC0000" w:sz="8"/>
        </w:pBdr>
        <w:spacing w:after="120" w:before="320"/>
      </w:pPr>
      <w:r>
        <w:rPr>
          <w:rFonts w:ascii="Arial" w:cs="Arial" w:eastAsia="Arial" w:hAnsi="Arial"/>
          <w:b/>
          <w:bCs/>
          <w:color w:val="CC0000"/>
          <w:sz w:val="24"/>
          <w:szCs w:val="24"/>
        </w:rPr>
        <w:t xml:space="preserve">CLAUSE 5 — FEES AND COMPENSATION</w:t>
      </w:r>
    </w:p>
    <w:p>
      <w:pPr>
        <w:spacing w:after="80" w:before="240"/>
      </w:pPr>
      <w:r>
        <w:rPr>
          <w:rFonts w:ascii="Arial" w:cs="Arial" w:eastAsia="Arial" w:hAnsi="Arial"/>
          <w:b/>
          <w:bCs/>
          <w:color w:val="333333"/>
          <w:sz w:val="22"/>
          <w:szCs w:val="22"/>
        </w:rPr>
        <w:t xml:space="preserve">5.1. Early Adoption Phase (Beta Period)</w:t>
      </w:r>
    </w:p>
    <w:p>
      <w:pPr>
        <w:spacing w:after="60" w:before="60"/>
        <w:jc w:val="both"/>
      </w:pPr>
      <w:r>
        <w:rPr>
          <w:rFonts w:ascii="Arial" w:cs="Arial" w:eastAsia="Arial" w:hAnsi="Arial"/>
          <w:color w:val="333333"/>
          <w:sz w:val="20"/>
          <w:szCs w:val="20"/>
        </w:rPr>
        <w:t xml:space="preserve">During the Beta Period, the services described in Clause 1 will be provided at a reduced cost or no immediate monetary cost, in recognition of the value of the Artist's active feedback. AML reserves the right to charge direct operational costs with prior written notice.</w:t>
      </w:r>
    </w:p>
    <w:p>
      <w:pPr>
        <w:spacing w:after="80" w:before="0"/>
      </w:pPr>
      <w:r>
        <w:rPr>
          <w:sz w:val="2"/>
          <w:szCs w:val="2"/>
        </w:rPr>
        <w:t xml:space="preserve"/>
      </w:r>
    </w:p>
    <w:p>
      <w:pPr>
        <w:spacing w:after="80" w:before="240"/>
      </w:pPr>
      <w:r>
        <w:rPr>
          <w:rFonts w:ascii="Arial" w:cs="Arial" w:eastAsia="Arial" w:hAnsi="Arial"/>
          <w:b/>
          <w:bCs/>
          <w:color w:val="333333"/>
          <w:sz w:val="22"/>
          <w:szCs w:val="22"/>
        </w:rPr>
        <w:t xml:space="preserve">5.2. Post-Beta Fees</w:t>
      </w:r>
    </w:p>
    <w:p>
      <w:pPr>
        <w:spacing w:after="60" w:before="60"/>
        <w:jc w:val="both"/>
      </w:pPr>
      <w:r>
        <w:rPr>
          <w:rFonts w:ascii="Arial" w:cs="Arial" w:eastAsia="Arial" w:hAnsi="Arial"/>
          <w:color w:val="333333"/>
          <w:sz w:val="20"/>
          <w:szCs w:val="20"/>
        </w:rPr>
        <w:t xml:space="preserve">Upon completion of the Beta Period, services will continue under a fee structure ranging between USD $100 and USD $500 per month, based on the active service package agreed upon in writing by both parties prior to the end of the Beta Period.</w:t>
      </w:r>
    </w:p>
    <w:p>
      <w:pPr>
        <w:pBdr>
          <w:bottom w:val="single" w:color="CC0000" w:sz="8"/>
        </w:pBdr>
        <w:spacing w:after="120" w:before="320"/>
      </w:pPr>
      <w:r>
        <w:rPr>
          <w:rFonts w:ascii="Arial" w:cs="Arial" w:eastAsia="Arial" w:hAnsi="Arial"/>
          <w:b/>
          <w:bCs/>
          <w:color w:val="CC0000"/>
          <w:sz w:val="24"/>
          <w:szCs w:val="24"/>
        </w:rPr>
        <w:t xml:space="preserve">CLAUSE 6 — REVENUE SHARING</w:t>
      </w:r>
    </w:p>
    <w:p>
      <w:pPr>
        <w:spacing w:after="60" w:before="60"/>
        <w:jc w:val="both"/>
      </w:pPr>
      <w:r>
        <w:rPr>
          <w:rFonts w:ascii="Arial" w:cs="Arial" w:eastAsia="Arial" w:hAnsi="Arial"/>
          <w:color w:val="333333"/>
          <w:sz w:val="20"/>
          <w:szCs w:val="20"/>
        </w:rPr>
        <w:t xml:space="preserve">When AML actively manages and secures income opportunities for the Artist through its platform, network or outbound campaigns, the parties agree to the following share of gross income received:</w:t>
      </w:r>
    </w:p>
    <w:p>
      <w:pPr>
        <w:spacing w:after="40" w:before="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W w:type="dxa" w:w="5560"/>
            <w:tcBorders>
              <w:top w:val="none"/>
              <w:left w:val="none"/>
              <w:bottom w:val="none"/>
              <w:right w:val="none"/>
            </w:tcBorders>
            <w:shd w:fill="CC0000" w:val="clear"/>
            <w:tcMar>
              <w:top w:type="dxa" w:w="120"/>
              <w:left w:type="dxa" w:w="160"/>
              <w:bottom w:type="dxa" w:w="120"/>
              <w:right w:type="dxa" w:w="160"/>
            </w:tcMar>
          </w:tcPr>
          <w:p>
            <w:r>
              <w:rPr>
                <w:rFonts w:ascii="Arial" w:cs="Arial" w:eastAsia="Arial" w:hAnsi="Arial"/>
                <w:b/>
                <w:bCs/>
                <w:color w:val="FFFFFF"/>
                <w:sz w:val="18"/>
                <w:szCs w:val="18"/>
              </w:rPr>
              <w:t xml:space="preserve">INCOME TYPE</w:t>
            </w:r>
          </w:p>
        </w:tc>
        <w:tc>
          <w:tcPr>
            <w:tcW w:type="dxa" w:w="3800"/>
            <w:tcBorders>
              <w:top w:val="none"/>
              <w:left w:val="none"/>
              <w:bottom w:val="none"/>
              <w:right w:val="none"/>
            </w:tcBorders>
            <w:shd w:fill="CC0000"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AML % (gross income)</w:t>
            </w:r>
          </w:p>
        </w:tc>
      </w:tr>
      <w:tr>
        <w:tc>
          <w:tcPr>
            <w:tcW w:type="dxa" w:w="5560"/>
            <w:tcBorders>
              <w:top w:val="single" w:color="CCCCCC" w:sz="2"/>
              <w:left w:val="single" w:color="CCCCCC" w:sz="2"/>
              <w:bottom w:val="single" w:color="CCCCCC" w:sz="2"/>
              <w:right w:val="single" w:color="CCCCCC" w:sz="2"/>
            </w:tcBorders>
            <w:shd w:fill="F5F5F5" w:val="clear"/>
            <w:tcMar>
              <w:top w:type="dxa" w:w="100"/>
              <w:left w:type="dxa" w:w="160"/>
              <w:bottom w:type="dxa" w:w="100"/>
              <w:right w:type="dxa" w:w="160"/>
            </w:tcMar>
          </w:tcPr>
          <w:p>
            <w:r>
              <w:rPr>
                <w:rFonts w:ascii="Arial" w:cs="Arial" w:eastAsia="Arial" w:hAnsi="Arial"/>
                <w:color w:val="333333"/>
                <w:sz w:val="18"/>
                <w:szCs w:val="18"/>
              </w:rPr>
              <w:t xml:space="preserve">Live shows, concerts and performances booked by AML</w:t>
            </w:r>
          </w:p>
        </w:tc>
        <w:tc>
          <w:tcPr>
            <w:tcW w:type="dxa" w:w="3800"/>
            <w:tcBorders>
              <w:top w:val="single" w:color="CCCCCC" w:sz="2"/>
              <w:left w:val="single" w:color="CCCCCC" w:sz="2"/>
              <w:bottom w:val="single" w:color="CCCCCC" w:sz="2"/>
              <w:right w:val="single" w:color="CCCCCC" w:sz="2"/>
            </w:tcBorders>
            <w:shd w:fill="F5F5F5" w:val="clear"/>
            <w:tcMar>
              <w:top w:type="dxa" w:w="100"/>
              <w:left w:type="dxa" w:w="160"/>
              <w:bottom w:type="dxa" w:w="100"/>
              <w:right w:type="dxa" w:w="160"/>
            </w:tcMar>
          </w:tcPr>
          <w:p>
            <w:pPr>
              <w:jc w:val="center"/>
            </w:pPr>
            <w:r>
              <w:rPr>
                <w:rFonts w:ascii="Arial" w:cs="Arial" w:eastAsia="Arial" w:hAnsi="Arial"/>
                <w:b/>
                <w:bCs/>
                <w:color w:val="CC0000"/>
                <w:sz w:val="18"/>
                <w:szCs w:val="18"/>
              </w:rPr>
              <w:t xml:space="preserve">30%</w:t>
            </w:r>
          </w:p>
        </w:tc>
      </w:tr>
      <w:tr>
        <w:tc>
          <w:tcPr>
            <w:tcW w:type="dxa" w:w="55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Arial" w:cs="Arial" w:eastAsia="Arial" w:hAnsi="Arial"/>
                <w:color w:val="333333"/>
                <w:sz w:val="18"/>
                <w:szCs w:val="18"/>
              </w:rPr>
              <w:t xml:space="preserve">Merchandise sales channeled through the AML platform</w:t>
            </w:r>
          </w:p>
        </w:tc>
        <w:tc>
          <w:tcPr>
            <w:tcW w:type="dxa" w:w="38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pPr>
              <w:jc w:val="center"/>
            </w:pPr>
            <w:r>
              <w:rPr>
                <w:rFonts w:ascii="Arial" w:cs="Arial" w:eastAsia="Arial" w:hAnsi="Arial"/>
                <w:b/>
                <w:bCs/>
                <w:color w:val="CC0000"/>
                <w:sz w:val="18"/>
                <w:szCs w:val="18"/>
              </w:rPr>
              <w:t xml:space="preserve">35%</w:t>
            </w:r>
          </w:p>
        </w:tc>
      </w:tr>
      <w:tr>
        <w:tc>
          <w:tcPr>
            <w:tcW w:type="dxa" w:w="5560"/>
            <w:tcBorders>
              <w:top w:val="single" w:color="CCCCCC" w:sz="2"/>
              <w:left w:val="single" w:color="CCCCCC" w:sz="2"/>
              <w:bottom w:val="single" w:color="CCCCCC" w:sz="2"/>
              <w:right w:val="single" w:color="CCCCCC" w:sz="2"/>
            </w:tcBorders>
            <w:shd w:fill="F5F5F5" w:val="clear"/>
            <w:tcMar>
              <w:top w:type="dxa" w:w="100"/>
              <w:left w:type="dxa" w:w="160"/>
              <w:bottom w:type="dxa" w:w="100"/>
              <w:right w:type="dxa" w:w="160"/>
            </w:tcMar>
          </w:tcPr>
          <w:p>
            <w:r>
              <w:rPr>
                <w:rFonts w:ascii="Arial" w:cs="Arial" w:eastAsia="Arial" w:hAnsi="Arial"/>
                <w:color w:val="333333"/>
                <w:sz w:val="18"/>
                <w:szCs w:val="18"/>
              </w:rPr>
              <w:t xml:space="preserve">Sponsorship contracts or strategic alliances managed by AML</w:t>
            </w:r>
          </w:p>
        </w:tc>
        <w:tc>
          <w:tcPr>
            <w:tcW w:type="dxa" w:w="3800"/>
            <w:tcBorders>
              <w:top w:val="single" w:color="CCCCCC" w:sz="2"/>
              <w:left w:val="single" w:color="CCCCCC" w:sz="2"/>
              <w:bottom w:val="single" w:color="CCCCCC" w:sz="2"/>
              <w:right w:val="single" w:color="CCCCCC" w:sz="2"/>
            </w:tcBorders>
            <w:shd w:fill="F5F5F5" w:val="clear"/>
            <w:tcMar>
              <w:top w:type="dxa" w:w="100"/>
              <w:left w:type="dxa" w:w="160"/>
              <w:bottom w:type="dxa" w:w="100"/>
              <w:right w:type="dxa" w:w="160"/>
            </w:tcMar>
          </w:tcPr>
          <w:p>
            <w:pPr>
              <w:jc w:val="center"/>
            </w:pPr>
            <w:r>
              <w:rPr>
                <w:rFonts w:ascii="Arial" w:cs="Arial" w:eastAsia="Arial" w:hAnsi="Arial"/>
                <w:b/>
                <w:bCs/>
                <w:color w:val="CC0000"/>
                <w:sz w:val="18"/>
                <w:szCs w:val="18"/>
              </w:rPr>
              <w:t xml:space="preserve">40%</w:t>
            </w:r>
          </w:p>
        </w:tc>
      </w:tr>
      <w:tr>
        <w:tc>
          <w:tcPr>
            <w:tcW w:type="dxa" w:w="55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Arial" w:cs="Arial" w:eastAsia="Arial" w:hAnsi="Arial"/>
                <w:color w:val="333333"/>
                <w:sz w:val="18"/>
                <w:szCs w:val="18"/>
              </w:rPr>
              <w:t xml:space="preserve">Corporate opportunities (private events, conferences, keynotes)</w:t>
            </w:r>
          </w:p>
        </w:tc>
        <w:tc>
          <w:tcPr>
            <w:tcW w:type="dxa" w:w="38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pPr>
              <w:jc w:val="center"/>
            </w:pPr>
            <w:r>
              <w:rPr>
                <w:rFonts w:ascii="Arial" w:cs="Arial" w:eastAsia="Arial" w:hAnsi="Arial"/>
                <w:b/>
                <w:bCs/>
                <w:color w:val="CC0000"/>
                <w:sz w:val="18"/>
                <w:szCs w:val="18"/>
              </w:rPr>
              <w:t xml:space="preserve">30%</w:t>
            </w:r>
          </w:p>
        </w:tc>
      </w:tr>
      <w:tr>
        <w:tc>
          <w:tcPr>
            <w:tcW w:type="dxa" w:w="5560"/>
            <w:tcBorders>
              <w:top w:val="single" w:color="CCCCCC" w:sz="2"/>
              <w:left w:val="single" w:color="CCCCCC" w:sz="2"/>
              <w:bottom w:val="single" w:color="CCCCCC" w:sz="2"/>
              <w:right w:val="single" w:color="CCCCCC" w:sz="2"/>
            </w:tcBorders>
            <w:shd w:fill="F5F5F5" w:val="clear"/>
            <w:tcMar>
              <w:top w:type="dxa" w:w="100"/>
              <w:left w:type="dxa" w:w="160"/>
              <w:bottom w:type="dxa" w:w="100"/>
              <w:right w:type="dxa" w:w="160"/>
            </w:tcMar>
          </w:tcPr>
          <w:p>
            <w:r>
              <w:rPr>
                <w:rFonts w:ascii="Arial" w:cs="Arial" w:eastAsia="Arial" w:hAnsi="Arial"/>
                <w:color w:val="333333"/>
                <w:sz w:val="18"/>
                <w:szCs w:val="18"/>
              </w:rPr>
              <w:t xml:space="preserve">Income generated directly by the Artist without AML involvement</w:t>
            </w:r>
          </w:p>
        </w:tc>
        <w:tc>
          <w:tcPr>
            <w:tcW w:type="dxa" w:w="3800"/>
            <w:tcBorders>
              <w:top w:val="single" w:color="CCCCCC" w:sz="2"/>
              <w:left w:val="single" w:color="CCCCCC" w:sz="2"/>
              <w:bottom w:val="single" w:color="CCCCCC" w:sz="2"/>
              <w:right w:val="single" w:color="CCCCCC" w:sz="2"/>
            </w:tcBorders>
            <w:shd w:fill="F5F5F5" w:val="clear"/>
            <w:tcMar>
              <w:top w:type="dxa" w:w="100"/>
              <w:left w:type="dxa" w:w="160"/>
              <w:bottom w:type="dxa" w:w="100"/>
              <w:right w:type="dxa" w:w="160"/>
            </w:tcMar>
          </w:tcPr>
          <w:p>
            <w:pPr>
              <w:jc w:val="center"/>
            </w:pPr>
            <w:r>
              <w:rPr>
                <w:rFonts w:ascii="Arial" w:cs="Arial" w:eastAsia="Arial" w:hAnsi="Arial"/>
                <w:b/>
                <w:bCs/>
                <w:color w:val="CC0000"/>
                <w:sz w:val="18"/>
                <w:szCs w:val="18"/>
              </w:rPr>
              <w:t xml:space="preserve">0% — 100% to the Artist</w:t>
            </w:r>
          </w:p>
        </w:tc>
      </w:tr>
    </w:tbl>
    <w:p>
      <w:pPr>
        <w:spacing w:after="100" w:before="0"/>
      </w:pPr>
      <w:r>
        <w:rPr>
          <w:sz w:val="2"/>
          <w:szCs w:val="2"/>
        </w:rPr>
        <w:t xml:space="preserve"/>
      </w:r>
    </w:p>
    <w:p>
      <w:pPr>
        <w:spacing w:after="60" w:before="60"/>
        <w:jc w:val="both"/>
      </w:pPr>
      <w:r>
        <w:rPr>
          <w:rFonts w:ascii="Arial" w:cs="Arial" w:eastAsia="Arial" w:hAnsi="Arial"/>
          <w:color w:val="333333"/>
          <w:sz w:val="20"/>
          <w:szCs w:val="20"/>
        </w:rPr>
        <w:t xml:space="preserve">Any income opportunity for which AML claims a share must be previously agreed upon and documented between the parties. AML will have no participation in income generated independently by the Artist without direct involvement of AML services.</w:t>
      </w:r>
    </w:p>
    <w:p>
      <w:pPr>
        <w:pBdr>
          <w:bottom w:val="single" w:color="CC0000" w:sz="8"/>
        </w:pBdr>
        <w:spacing w:after="120" w:before="320"/>
      </w:pPr>
      <w:r>
        <w:rPr>
          <w:rFonts w:ascii="Arial" w:cs="Arial" w:eastAsia="Arial" w:hAnsi="Arial"/>
          <w:b/>
          <w:bCs/>
          <w:color w:val="CC0000"/>
          <w:sz w:val="24"/>
          <w:szCs w:val="24"/>
        </w:rPr>
        <w:t xml:space="preserve">CLAUSE 7 — INTELLECTUAL PROPERTY</w:t>
      </w:r>
    </w:p>
    <w:p>
      <w:pPr>
        <w:pStyle w:val="ListParagraph"/>
        <w:numPr>
          <w:ilvl w:val="0"/>
          <w:numId w:val="2"/>
        </w:numPr>
        <w:spacing w:after="40" w:before="40"/>
      </w:pPr>
      <w:r>
        <w:rPr>
          <w:rFonts w:ascii="Arial" w:cs="Arial" w:eastAsia="Arial" w:hAnsi="Arial"/>
          <w:color w:val="333333"/>
          <w:sz w:val="20"/>
          <w:szCs w:val="20"/>
        </w:rPr>
        <w:t xml:space="preserve">All music, compositions, performances and recordings of the Artist are and remain under his exclusive ownership or the ownership of his rights holders.</w:t>
      </w:r>
    </w:p>
    <w:p>
      <w:pPr>
        <w:pStyle w:val="ListParagraph"/>
        <w:numPr>
          <w:ilvl w:val="0"/>
          <w:numId w:val="2"/>
        </w:numPr>
        <w:spacing w:after="40" w:before="40"/>
      </w:pPr>
      <w:r>
        <w:rPr>
          <w:rFonts w:ascii="Arial" w:cs="Arial" w:eastAsia="Arial" w:hAnsi="Arial"/>
          <w:color w:val="333333"/>
          <w:sz w:val="20"/>
          <w:szCs w:val="20"/>
        </w:rPr>
        <w:t xml:space="preserve">AML acquires no rights over the Artist's musical catalog, artistic name, image or intellectual property through this agreement.</w:t>
      </w:r>
    </w:p>
    <w:p>
      <w:pPr>
        <w:pStyle w:val="ListParagraph"/>
        <w:numPr>
          <w:ilvl w:val="0"/>
          <w:numId w:val="2"/>
        </w:numPr>
        <w:spacing w:after="40" w:before="40"/>
      </w:pPr>
      <w:r>
        <w:rPr>
          <w:rFonts w:ascii="Arial" w:cs="Arial" w:eastAsia="Arial" w:hAnsi="Arial"/>
          <w:color w:val="333333"/>
          <w:sz w:val="20"/>
          <w:szCs w:val="20"/>
        </w:rPr>
        <w:t xml:space="preserve">The domain apexmusiclatino.com belongs to AML. The Artist's own domain is his property.</w:t>
      </w:r>
    </w:p>
    <w:p>
      <w:pPr>
        <w:pStyle w:val="ListParagraph"/>
        <w:numPr>
          <w:ilvl w:val="0"/>
          <w:numId w:val="2"/>
        </w:numPr>
        <w:spacing w:after="40" w:before="40"/>
      </w:pPr>
      <w:r>
        <w:rPr>
          <w:rFonts w:ascii="Arial" w:cs="Arial" w:eastAsia="Arial" w:hAnsi="Arial"/>
          <w:color w:val="333333"/>
          <w:sz w:val="20"/>
          <w:szCs w:val="20"/>
        </w:rPr>
        <w:t xml:space="preserve">AML may use the Artist's name and materials for marketing and platform demonstration purposes, with prior authorization.</w:t>
      </w:r>
    </w:p>
    <w:p>
      <w:pPr>
        <w:pBdr>
          <w:bottom w:val="single" w:color="CC0000" w:sz="8"/>
        </w:pBdr>
        <w:spacing w:after="120" w:before="320"/>
      </w:pPr>
      <w:r>
        <w:rPr>
          <w:rFonts w:ascii="Arial" w:cs="Arial" w:eastAsia="Arial" w:hAnsi="Arial"/>
          <w:b/>
          <w:bCs/>
          <w:color w:val="CC0000"/>
          <w:sz w:val="24"/>
          <w:szCs w:val="24"/>
        </w:rPr>
        <w:t xml:space="preserve">CLAUSE 8 — TERMINATION</w:t>
      </w:r>
    </w:p>
    <w:p>
      <w:pPr>
        <w:spacing w:after="60" w:before="60"/>
        <w:jc w:val="both"/>
      </w:pPr>
      <w:r>
        <w:rPr>
          <w:rFonts w:ascii="Arial" w:cs="Arial" w:eastAsia="Arial" w:hAnsi="Arial"/>
          <w:color w:val="333333"/>
          <w:sz w:val="20"/>
          <w:szCs w:val="20"/>
        </w:rPr>
        <w:t xml:space="preserve">8.1  Either party may terminate this agreement with fifteen (15) calendar days prior written notice.</w:t>
      </w:r>
    </w:p>
    <w:p>
      <w:pPr>
        <w:spacing w:after="60" w:before="0"/>
      </w:pPr>
      <w:r>
        <w:rPr>
          <w:sz w:val="2"/>
          <w:szCs w:val="2"/>
        </w:rPr>
        <w:t xml:space="preserve"/>
      </w:r>
    </w:p>
    <w:p>
      <w:pPr>
        <w:spacing w:after="60" w:before="60"/>
        <w:jc w:val="both"/>
      </w:pPr>
      <w:r>
        <w:rPr>
          <w:rFonts w:ascii="Arial" w:cs="Arial" w:eastAsia="Arial" w:hAnsi="Arial"/>
          <w:color w:val="333333"/>
          <w:sz w:val="20"/>
          <w:szCs w:val="20"/>
        </w:rPr>
        <w:t xml:space="preserve">8.2  AML may terminate immediately in cases of repeated failure of the Artist's obligations, use of services for illegal activities, or sharing of unauthorized platform access.</w:t>
      </w:r>
    </w:p>
    <w:p>
      <w:pPr>
        <w:spacing w:after="60" w:before="0"/>
      </w:pPr>
      <w:r>
        <w:rPr>
          <w:sz w:val="2"/>
          <w:szCs w:val="2"/>
        </w:rPr>
        <w:t xml:space="preserve"/>
      </w:r>
    </w:p>
    <w:p>
      <w:pPr>
        <w:spacing w:after="60" w:before="60"/>
        <w:jc w:val="both"/>
      </w:pPr>
      <w:r>
        <w:rPr>
          <w:rFonts w:ascii="Arial" w:cs="Arial" w:eastAsia="Arial" w:hAnsi="Arial"/>
          <w:color w:val="333333"/>
          <w:sz w:val="20"/>
          <w:szCs w:val="20"/>
        </w:rPr>
        <w:t xml:space="preserve">8.3  The Artist may terminate without penalty if AML fails to keep the platform operational for more than seven (7) consecutive days without justification, or posts on social media without authorization.</w:t>
      </w:r>
    </w:p>
    <w:p>
      <w:pPr>
        <w:spacing w:after="60" w:before="0"/>
      </w:pPr>
      <w:r>
        <w:rPr>
          <w:sz w:val="2"/>
          <w:szCs w:val="2"/>
        </w:rPr>
        <w:t xml:space="preserve"/>
      </w:r>
    </w:p>
    <w:p>
      <w:pPr>
        <w:spacing w:after="60" w:before="60"/>
        <w:jc w:val="both"/>
      </w:pPr>
      <w:r>
        <w:rPr>
          <w:rFonts w:ascii="Arial" w:cs="Arial" w:eastAsia="Arial" w:hAnsi="Arial"/>
          <w:color w:val="333333"/>
          <w:sz w:val="20"/>
          <w:szCs w:val="20"/>
        </w:rPr>
        <w:t xml:space="preserve">8.4  Upon termination, AML will deliver to the Artist a full export of captured fan data in CSV format within five (5) business days.</w:t>
      </w:r>
    </w:p>
    <w:p>
      <w:pPr>
        <w:pBdr>
          <w:bottom w:val="single" w:color="CC0000" w:sz="8"/>
        </w:pBdr>
        <w:spacing w:after="120" w:before="320"/>
      </w:pPr>
      <w:r>
        <w:rPr>
          <w:rFonts w:ascii="Arial" w:cs="Arial" w:eastAsia="Arial" w:hAnsi="Arial"/>
          <w:b/>
          <w:bCs/>
          <w:color w:val="CC0000"/>
          <w:sz w:val="24"/>
          <w:szCs w:val="24"/>
        </w:rPr>
        <w:t xml:space="preserve">CLAUSE 9 — CONFIDENTIALITY</w:t>
      </w:r>
    </w:p>
    <w:p>
      <w:pPr>
        <w:spacing w:after="60" w:before="60"/>
        <w:jc w:val="both"/>
      </w:pPr>
      <w:r>
        <w:rPr>
          <w:rFonts w:ascii="Arial" w:cs="Arial" w:eastAsia="Arial" w:hAnsi="Arial"/>
          <w:color w:val="333333"/>
          <w:sz w:val="20"/>
          <w:szCs w:val="20"/>
        </w:rPr>
        <w:t xml:space="preserve">Both parties agree to maintain in strict confidentiality all commercial, technical, strategic and operational information exchanged under this agreement. This obligation extends for twelve (12) months after termination of the agreement.</w:t>
      </w:r>
    </w:p>
    <w:p>
      <w:pPr>
        <w:pBdr>
          <w:bottom w:val="single" w:color="CC0000" w:sz="8"/>
        </w:pBdr>
        <w:spacing w:after="120" w:before="320"/>
      </w:pPr>
      <w:r>
        <w:rPr>
          <w:rFonts w:ascii="Arial" w:cs="Arial" w:eastAsia="Arial" w:hAnsi="Arial"/>
          <w:b/>
          <w:bCs/>
          <w:color w:val="CC0000"/>
          <w:sz w:val="24"/>
          <w:szCs w:val="24"/>
        </w:rPr>
        <w:t xml:space="preserve">CLAUSE 10 — LIMITATION OF LIABILITY</w:t>
      </w:r>
    </w:p>
    <w:p>
      <w:pPr>
        <w:spacing w:after="60" w:before="60"/>
        <w:jc w:val="both"/>
      </w:pPr>
      <w:r>
        <w:rPr>
          <w:rFonts w:ascii="Arial" w:cs="Arial" w:eastAsia="Arial" w:hAnsi="Arial"/>
          <w:color w:val="333333"/>
          <w:sz w:val="20"/>
          <w:szCs w:val="20"/>
        </w:rPr>
        <w:t xml:space="preserve">AML shall not be liable for loss of income, indirect or consequential damages arising from service interruptions, platform errors or marketing campaign results. AML's maximum liability is limited to the value of services paid during the month immediately preceding the event giving rise to the claim.</w:t>
      </w:r>
    </w:p>
    <w:p>
      <w:pPr>
        <w:pBdr>
          <w:bottom w:val="single" w:color="CC0000" w:sz="8"/>
        </w:pBdr>
        <w:spacing w:after="120" w:before="320"/>
      </w:pPr>
      <w:r>
        <w:rPr>
          <w:rFonts w:ascii="Arial" w:cs="Arial" w:eastAsia="Arial" w:hAnsi="Arial"/>
          <w:b/>
          <w:bCs/>
          <w:color w:val="CC0000"/>
          <w:sz w:val="24"/>
          <w:szCs w:val="24"/>
        </w:rPr>
        <w:t xml:space="preserve">CLAUSE 11 — GOVERNING LAW</w:t>
      </w:r>
    </w:p>
    <w:p>
      <w:pPr>
        <w:spacing w:after="60" w:before="60"/>
        <w:jc w:val="both"/>
      </w:pPr>
      <w:r>
        <w:rPr>
          <w:rFonts w:ascii="Arial" w:cs="Arial" w:eastAsia="Arial" w:hAnsi="Arial"/>
          <w:color w:val="333333"/>
          <w:sz w:val="20"/>
          <w:szCs w:val="20"/>
        </w:rPr>
        <w:t xml:space="preserve">This agreement is governed by the laws of the Republic of Colombia. Any dispute that cannot be resolved amicably within thirty (30) calendar days will be submitted to conciliation before resorting to judicial proceedings, in the city of Bogota D.C., Colombia.</w:t>
      </w:r>
    </w:p>
    <w:p>
      <w:pPr>
        <w:pBdr>
          <w:bottom w:val="single" w:color="CC0000" w:sz="8"/>
        </w:pBdr>
        <w:spacing w:after="120" w:before="320"/>
      </w:pPr>
      <w:r>
        <w:rPr>
          <w:rFonts w:ascii="Arial" w:cs="Arial" w:eastAsia="Arial" w:hAnsi="Arial"/>
          <w:b/>
          <w:bCs/>
          <w:color w:val="CC0000"/>
          <w:sz w:val="24"/>
          <w:szCs w:val="24"/>
        </w:rPr>
        <w:t xml:space="preserve">CLAUSE 12 — GENERAL PROVISIONS</w:t>
      </w:r>
    </w:p>
    <w:p>
      <w:pPr>
        <w:pStyle w:val="ListParagraph"/>
        <w:numPr>
          <w:ilvl w:val="0"/>
          <w:numId w:val="2"/>
        </w:numPr>
        <w:spacing w:after="40" w:before="40"/>
      </w:pPr>
      <w:r>
        <w:rPr>
          <w:rFonts w:ascii="Arial" w:cs="Arial" w:eastAsia="Arial" w:hAnsi="Arial"/>
          <w:color w:val="333333"/>
          <w:sz w:val="20"/>
          <w:szCs w:val="20"/>
        </w:rPr>
        <w:t xml:space="preserve">This agreement constitutes the complete understanding between the parties and replaces any prior verbal or written communication on the same subject.</w:t>
      </w:r>
    </w:p>
    <w:p>
      <w:pPr>
        <w:pStyle w:val="ListParagraph"/>
        <w:numPr>
          <w:ilvl w:val="0"/>
          <w:numId w:val="2"/>
        </w:numPr>
        <w:spacing w:after="40" w:before="40"/>
      </w:pPr>
      <w:r>
        <w:rPr>
          <w:rFonts w:ascii="Arial" w:cs="Arial" w:eastAsia="Arial" w:hAnsi="Arial"/>
          <w:color w:val="333333"/>
          <w:sz w:val="20"/>
          <w:szCs w:val="20"/>
        </w:rPr>
        <w:t xml:space="preserve">Any modification must be in writing and signed by both parties.</w:t>
      </w:r>
    </w:p>
    <w:p>
      <w:pPr>
        <w:pStyle w:val="ListParagraph"/>
        <w:numPr>
          <w:ilvl w:val="0"/>
          <w:numId w:val="2"/>
        </w:numPr>
        <w:spacing w:after="40" w:before="40"/>
      </w:pPr>
      <w:r>
        <w:rPr>
          <w:rFonts w:ascii="Arial" w:cs="Arial" w:eastAsia="Arial" w:hAnsi="Arial"/>
          <w:color w:val="333333"/>
          <w:sz w:val="20"/>
          <w:szCs w:val="20"/>
        </w:rPr>
        <w:t xml:space="preserve">If any clause is declared null or ineffective, the remaining clauses shall remain in full force.</w:t>
      </w:r>
    </w:p>
    <w:p>
      <w:pPr>
        <w:pStyle w:val="ListParagraph"/>
        <w:numPr>
          <w:ilvl w:val="0"/>
          <w:numId w:val="2"/>
        </w:numPr>
        <w:spacing w:after="40" w:before="40"/>
      </w:pPr>
      <w:r>
        <w:rPr>
          <w:rFonts w:ascii="Arial" w:cs="Arial" w:eastAsia="Arial" w:hAnsi="Arial"/>
          <w:color w:val="333333"/>
          <w:sz w:val="20"/>
          <w:szCs w:val="20"/>
        </w:rPr>
        <w:t xml:space="preserve">Official communications will be directed to each party's email address indicated at the time of signing.</w:t>
      </w:r>
    </w:p>
    <w:p>
      <w:pPr>
        <w:pBdr>
          <w:bottom w:val="single" w:color="CC0000" w:sz="8"/>
        </w:pBdr>
        <w:spacing w:after="120" w:before="320"/>
      </w:pPr>
      <w:r>
        <w:rPr>
          <w:rFonts w:ascii="Arial" w:cs="Arial" w:eastAsia="Arial" w:hAnsi="Arial"/>
          <w:b/>
          <w:bCs/>
          <w:color w:val="CC0000"/>
          <w:sz w:val="24"/>
          <w:szCs w:val="24"/>
        </w:rPr>
        <w:t xml:space="preserve">SIGNATURES</w:t>
      </w:r>
    </w:p>
    <w:p>
      <w:pPr>
        <w:spacing w:after="60" w:before="60"/>
        <w:jc w:val="both"/>
      </w:pPr>
      <w:r>
        <w:rPr>
          <w:rFonts w:ascii="Arial" w:cs="Arial" w:eastAsia="Arial" w:hAnsi="Arial"/>
          <w:color w:val="333333"/>
          <w:sz w:val="20"/>
          <w:szCs w:val="20"/>
        </w:rPr>
        <w:t xml:space="preserve">In witness whereof, the parties sign this agreement in the city of _____________, Colombia, on the _____ day of _____________ , 2026.</w:t>
      </w:r>
    </w:p>
    <w:p>
      <w:pPr>
        <w:spacing w:after="80" w:before="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120"/>
              <w:left w:type="dxa" w:w="0"/>
              <w:bottom w:type="dxa" w:w="120"/>
              <w:right w:type="dxa" w:w="240"/>
            </w:tcMar>
          </w:tcPr>
          <w:p>
            <w:pPr>
              <w:spacing w:after="80"/>
            </w:pPr>
            <w:r>
              <w:rPr>
                <w:rFonts w:ascii="Arial" w:cs="Arial" w:eastAsia="Arial" w:hAnsi="Arial"/>
                <w:b/>
                <w:bCs/>
                <w:color w:val="CC0000"/>
                <w:sz w:val="18"/>
                <w:szCs w:val="18"/>
              </w:rPr>
              <w:t xml:space="preserve">FOR APEX MUSIC LATINO</w:t>
            </w:r>
          </w:p>
          <w:p>
            <w:pPr>
              <w:spacing w:after="80" w:before="500"/>
            </w:pPr>
            <w:r>
              <w:rPr>
                <w:rFonts w:ascii="Arial" w:cs="Arial" w:eastAsia="Arial" w:hAnsi="Arial"/>
                <w:color w:val="CCCCCC"/>
                <w:sz w:val="20"/>
                <w:szCs w:val="20"/>
              </w:rPr>
              <w:t xml:space="preserve">________________________________</w:t>
            </w:r>
          </w:p>
          <w:p>
            <w:pPr>
              <w:spacing w:after="40"/>
            </w:pPr>
            <w:r>
              <w:rPr>
                <w:rFonts w:ascii="Arial" w:cs="Arial" w:eastAsia="Arial" w:hAnsi="Arial"/>
                <w:b/>
                <w:bCs/>
                <w:color w:val="333333"/>
                <w:sz w:val="18"/>
                <w:szCs w:val="18"/>
              </w:rPr>
              <w:t xml:space="preserve">Legal Representative</w:t>
            </w:r>
          </w:p>
          <w:p>
            <w:pPr>
              <w:spacing w:after="40"/>
            </w:pPr>
            <w:r>
              <w:rPr>
                <w:rFonts w:ascii="Arial" w:cs="Arial" w:eastAsia="Arial" w:hAnsi="Arial"/>
                <w:color w:val="666666"/>
                <w:sz w:val="18"/>
                <w:szCs w:val="18"/>
              </w:rPr>
              <w:t xml:space="preserve">Apex Music Latino  ·  NIT: 9013995485</w:t>
            </w:r>
          </w:p>
          <w:p>
            <w:r>
              <w:rPr>
                <w:rFonts w:ascii="Arial" w:cs="Arial" w:eastAsia="Arial" w:hAnsi="Arial"/>
                <w:color w:val="666666"/>
                <w:sz w:val="18"/>
                <w:szCs w:val="18"/>
              </w:rPr>
              <w:t xml:space="preserve">ID / CC Legal Rep.: ___________________</w:t>
            </w:r>
          </w:p>
        </w:tc>
        <w:tc>
          <w:tcPr>
            <w:tcW w:type="dxa" w:w="4860"/>
            <w:tcBorders>
              <w:top w:val="none"/>
              <w:left w:val="none"/>
              <w:bottom w:val="none"/>
              <w:right w:val="none"/>
            </w:tcBorders>
            <w:tcMar>
              <w:top w:type="dxa" w:w="120"/>
              <w:left w:type="dxa" w:w="240"/>
              <w:bottom w:type="dxa" w:w="120"/>
              <w:right w:type="dxa" w:w="0"/>
            </w:tcMar>
          </w:tcPr>
          <w:p>
            <w:pPr>
              <w:spacing w:after="80"/>
            </w:pPr>
            <w:r>
              <w:rPr>
                <w:rFonts w:ascii="Arial" w:cs="Arial" w:eastAsia="Arial" w:hAnsi="Arial"/>
                <w:b/>
                <w:bCs/>
                <w:color w:val="CC0000"/>
                <w:sz w:val="18"/>
                <w:szCs w:val="18"/>
              </w:rPr>
              <w:t xml:space="preserve">THE ARTIST</w:t>
            </w:r>
          </w:p>
          <w:p>
            <w:pPr>
              <w:spacing w:after="80" w:before="500"/>
            </w:pPr>
            <w:r>
              <w:rPr>
                <w:rFonts w:ascii="Arial" w:cs="Arial" w:eastAsia="Arial" w:hAnsi="Arial"/>
                <w:color w:val="CCCCCC"/>
                <w:sz w:val="20"/>
                <w:szCs w:val="20"/>
              </w:rPr>
              <w:t xml:space="preserve">________________________________</w:t>
            </w:r>
          </w:p>
          <w:p>
            <w:pPr>
              <w:spacing w:after="40"/>
            </w:pPr>
            <w:r>
              <w:rPr>
                <w:rFonts w:ascii="Arial" w:cs="Arial" w:eastAsia="Arial" w:hAnsi="Arial"/>
                <w:b/>
                <w:bCs/>
                <w:color w:val="333333"/>
                <w:sz w:val="18"/>
                <w:szCs w:val="18"/>
              </w:rPr>
              <w:t xml:space="preserve">Jhon Acevedo</w:t>
            </w:r>
          </w:p>
          <w:p>
            <w:pPr>
              <w:spacing w:after="40"/>
            </w:pPr>
            <w:r>
              <w:rPr>
                <w:rFonts w:ascii="Arial" w:cs="Arial" w:eastAsia="Arial" w:hAnsi="Arial"/>
                <w:color w:val="666666"/>
                <w:sz w:val="18"/>
                <w:szCs w:val="18"/>
              </w:rPr>
              <w:t xml:space="preserve">Artist  —  Arco Iris Tango</w:t>
            </w:r>
          </w:p>
          <w:p>
            <w:r>
              <w:rPr>
                <w:rFonts w:ascii="Arial" w:cs="Arial" w:eastAsia="Arial" w:hAnsi="Arial"/>
                <w:color w:val="666666"/>
                <w:sz w:val="18"/>
                <w:szCs w:val="18"/>
              </w:rPr>
              <w:t xml:space="preserve">CC: ___________________</w:t>
            </w:r>
          </w:p>
        </w:tc>
      </w:tr>
    </w:tbl>
    <w:p>
      <w:pPr>
        <w:spacing w:after="200" w:before="0"/>
      </w:pPr>
      <w:r>
        <w:rPr>
          <w:sz w:val="2"/>
          <w:szCs w:val="2"/>
        </w:rPr>
        <w:t xml:space="preserve"/>
      </w:r>
    </w:p>
    <w:p>
      <w:pPr>
        <w:spacing w:after="40" w:before="80"/>
        <w:jc w:val="center"/>
      </w:pPr>
      <w:r>
        <w:rPr>
          <w:rFonts w:ascii="Arial" w:cs="Arial" w:eastAsia="Arial" w:hAnsi="Arial"/>
          <w:i/>
          <w:iCs/>
          <w:color w:val="666666"/>
          <w:sz w:val="16"/>
          <w:szCs w:val="16"/>
        </w:rPr>
        <w:t xml:space="preserve">This document is confidential and exclusive to the signing parties.</w:t>
      </w:r>
    </w:p>
    <w:p>
      <w:pPr>
        <w:jc w:val="center"/>
      </w:pPr>
      <w:r>
        <w:rPr>
          <w:rFonts w:ascii="Arial" w:cs="Arial" w:eastAsia="Arial" w:hAnsi="Arial"/>
          <w:color w:val="666666"/>
          <w:sz w:val="16"/>
          <w:szCs w:val="16"/>
        </w:rPr>
        <w:t xml:space="preserve">Apex Music Latino  ·  A Datos Maestros Company  ·  Powered by CUBO Data Engine  ·  Bogota, Colombia  ·  2026</w:t>
      </w:r>
    </w:p>
    <w:sectPr>
      <w:headerReference w:type="default" r:id="rId7"/>
      <w:footerReference w:type="default" r:id="rId8"/>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after="0" w:before="80"/>
      <w:jc w:val="center"/>
    </w:pPr>
    <w:r>
      <w:rPr>
        <w:rFonts w:ascii="Arial" w:cs="Arial" w:eastAsia="Arial" w:hAnsi="Arial"/>
        <w:color w:val="666666"/>
        <w:sz w:val="16"/>
        <w:szCs w:val="16"/>
      </w:rPr>
      <w:t xml:space="preserve">Apex Music Latino  ·  A Datos Maestros Company  ·  Powered by CUBO Data Engine  ·  apexmusiclatino.com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before="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1047750"/>
                  </a:xfrm>
                  <a:prstGeom prst="rect">
                    <a:avLst/>
                  </a:prstGeom>
                </pic:spPr>
              </pic:pic>
            </a:graphicData>
          </a:graphic>
        </wp:inline>
      </w:drawing>
    </w:r>
  </w:p>
  <w:p>
    <w:pPr>
      <w:pBdr>
        <w:bottom w:val="single" w:color="CC0000" w:sz="6"/>
      </w:pBdr>
      <w:spacing w:after="80" w:before="0"/>
      <w:jc w:val="center"/>
    </w:pPr>
    <w:r>
      <w:rPr>
        <w:rFonts w:ascii="Arial" w:cs="Arial" w:eastAsia="Arial" w:hAnsi="Arial"/>
        <w:color w:val="666666"/>
        <w:sz w:val="16"/>
        <w:szCs w:val="16"/>
      </w:rPr>
      <w:t xml:space="preserve">Apex Music Latino  ·  NIT 9013995485  ·  +57 318 717 3584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4cb55a78bcf5840a74f285a24d2efd13ac2f2e8.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2026-04-28T15:35:03.658Z</dcterms:created>
  <dcterms:modified xsi:type="dcterms:W3CDTF">2026-04-28T15:35:03.659Z</dcterms:modified>
</cp:coreProperties>
</file>

<file path=docProps/custom.xml><?xml version="1.0" encoding="utf-8"?>
<Properties xmlns="http://schemas.openxmlformats.org/officeDocument/2006/custom-properties" xmlns:vt="http://schemas.openxmlformats.org/officeDocument/2006/docPropsVTypes"/>
</file>