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APEX-ARTISI ONLINE — Ερωτήματα προς τον νομικό σύμβουλο και έρευνες</w:t>
      </w:r>
    </w:p>
    <w:p>
      <w:pPr>
        <w:pStyle w:val="Heading1"/>
      </w:pPr>
      <w:r>
        <w:t>Ερωτήματα προς τον νομικό σύμβουλο (κ. Φώτσινο)</w:t>
      </w:r>
    </w:p>
    <w:p>
      <w:r>
        <w:rPr>
          <w:b/>
        </w:rPr>
        <w:t>APEX-ARTISI ONLINE — εφαρμογή «Apex» και κλινικά έγγραφα · 27/9/2026</w:t>
      </w:r>
    </w:p>
    <w:p>
      <w:r>
        <w:rPr>
          <w:b w:val="0"/>
        </w:rPr>
        <w:t>Συνοδεύει το συνημμένο «Κλινικά έγγραφα (ΣΧΕΔΙΑ)». Ακολουθούν, στο ίδιο αρχείο, οι έρευνες στις οποίες βασίζονται τα ερωτήματα. Οι έρευνες δεν είναι νομικές γνωμοδοτήσεις· χρειάζεται η δική σας κρίση.</w:t>
      </w:r>
    </w:p>
    <w:p>
      <w:pPr>
        <w:pStyle w:val="Heading2"/>
      </w:pPr>
      <w:r>
        <w:t>Α. Προσωπικά δεδομένα (ΓΚΠΔ)</w:t>
      </w:r>
    </w:p>
    <w:p>
      <w:pPr>
        <w:pStyle w:val="ListNumber"/>
      </w:pPr>
      <w:r>
        <w:rPr>
          <w:b/>
        </w:rPr>
        <w:t>Νομική βάση για τον φάκελο του μέλους</w:t>
      </w:r>
      <w:r>
        <w:rPr>
          <w:b w:val="0"/>
        </w:rPr>
        <w:t xml:space="preserve"> (σημειώματα, αξιολογήσεις): άρθρο 9 παρ. 2(η) (φροντίδα από επαγγελματία με απόρρητο) ή ρητή συγκατάθεση 9 παρ. 2(α); Τα υπόλοιπα (ημερολόγιο, Telegram, ηχογραφημένο μήνυμα, ανταλλαγή με ΑΥΤΟΓΝΩΣΙΑ PLUS) τα έχουμε ως χωριστές, προαιρετικές συγκαταθέσεις.</w:t>
      </w:r>
    </w:p>
    <w:p>
      <w:pPr>
        <w:pStyle w:val="ListNumber"/>
      </w:pPr>
      <w:r>
        <w:rPr>
          <w:b/>
        </w:rPr>
        <w:t>Εκτίμηση αντικτύπου (DPIA):</w:t>
      </w:r>
      <w:r>
        <w:rPr>
          <w:b w:val="0"/>
        </w:rPr>
        <w:t xml:space="preserve"> η έρευνα καταλήγει ότι είναι στην πράξη υποχρεωτική (Απόφαση ΑΠΔΠΧ 65/2018). Συμφωνείτε; Θα την αναλάβετε ή τη συντάσσουμε εμείς για έλεγχο;</w:t>
      </w:r>
    </w:p>
    <w:p>
      <w:pPr>
        <w:pStyle w:val="ListNumber"/>
      </w:pPr>
      <w:r>
        <w:rPr>
          <w:b/>
        </w:rPr>
        <w:t>Υπεύθυνος Προστασίας Δεδομένων (DPO):</w:t>
      </w:r>
      <w:r>
        <w:rPr>
          <w:b w:val="0"/>
        </w:rPr>
        <w:t xml:space="preserve"> μάλλον όχι ακόμη υποχρεωτικός με δεκάδες μέλη. Συμφωνείτε; Θα μπορούσατε να αναλάβετε εξωτερικά;</w:t>
      </w:r>
    </w:p>
    <w:p>
      <w:pPr>
        <w:pStyle w:val="ListNumber"/>
      </w:pPr>
      <w:r>
        <w:rPr>
          <w:b/>
        </w:rPr>
        <w:t>Telegram</w:t>
      </w:r>
      <w:r>
        <w:rPr>
          <w:b w:val="0"/>
        </w:rPr>
        <w:t xml:space="preserve"> (ειδοποίηση κρίσης στους επαγγελματίες, ομάδα χωρίς κρυπτογράφηση από άκρο σε άκρο, εκτός ΕΕ): επαρκεί μικρό όνομα + αρχικό και αυτόματη διαγραφή, ή μόνο κωδικός μέλους;</w:t>
      </w:r>
    </w:p>
    <w:p>
      <w:pPr>
        <w:pStyle w:val="ListNumber"/>
      </w:pPr>
      <w:r>
        <w:rPr>
          <w:b/>
        </w:rPr>
        <w:t>Zoom και Google (Forms για θεματικές φόρμες με κωδικό μέλους αντί ονόματος):</w:t>
      </w:r>
      <w:r>
        <w:rPr>
          <w:b w:val="0"/>
        </w:rPr>
        <w:t xml:space="preserve"> τι χρειάζεται για τις μεταφορές εκτός ΕΕ (Data Privacy Framework, συμβάσεις επεξεργασίας, περιοχή δεδομένων); Αρκεί ο σημερινός λογαριασμός Gmail ή χρειάζεται Google Workspace με σύμβαση;</w:t>
      </w:r>
    </w:p>
    <w:p>
      <w:pPr>
        <w:pStyle w:val="ListNumber"/>
      </w:pPr>
      <w:r>
        <w:rPr>
          <w:b/>
        </w:rPr>
        <w:t>Διατήρηση και διαγραφή κλινικών αρχείων:</w:t>
      </w:r>
      <w:r>
        <w:rPr>
          <w:b w:val="0"/>
        </w:rPr>
        <w:t xml:space="preserve"> πόσο κρατάμε φάκελο και σημειώματα; Ως πού ισχύει το δικαίωμα διαγραφής;</w:t>
      </w:r>
    </w:p>
    <w:p>
      <w:pPr>
        <w:pStyle w:val="ListNumber"/>
      </w:pPr>
      <w:r>
        <w:rPr>
          <w:b/>
        </w:rPr>
        <w:t>ΑΥΤΟΓΝΩΣΙΑ PLUS</w:t>
      </w:r>
      <w:r>
        <w:rPr>
          <w:b w:val="0"/>
        </w:rPr>
        <w:t xml:space="preserve"> (ξεχωριστή εταιρεία, μονάδα): την αντιμετωπίζουμε ως ξεχωριστό υπεύθυνο επεξεργασίας, με ανταλλαγή συνόψεων μόνο με συγκατάθεση. Σωστό;</w:t>
      </w:r>
    </w:p>
    <w:p>
      <w:pPr>
        <w:pStyle w:val="ListNumber"/>
      </w:pPr>
      <w:r>
        <w:rPr>
          <w:b/>
        </w:rPr>
        <w:t>Σχέδιο παραβίασης δεδομένων</w:t>
      </w:r>
      <w:r>
        <w:rPr>
          <w:b w:val="0"/>
        </w:rPr>
        <w:t xml:space="preserve"> (ειδοποίηση σε 72 ώρες, επικοινωνία με μέλη, πρόβλεψη για εκβιασμό μελών όπως στην υπόθεση Vastaamo): θα το ελέγξετε;</w:t>
      </w:r>
    </w:p>
    <w:p>
      <w:pPr>
        <w:pStyle w:val="Heading2"/>
      </w:pPr>
      <w:r>
        <w:t>Β. Υπογραφή και συμβάσεις</w:t>
      </w:r>
    </w:p>
    <w:p>
      <w:pPr>
        <w:pStyle w:val="ListNumber"/>
      </w:pPr>
      <w:r>
        <w:rPr>
          <w:b/>
        </w:rPr>
        <w:t>Επιβεβαίωση μέσα στην εφαρμογή</w:t>
      </w:r>
      <w:r>
        <w:rPr>
          <w:b w:val="0"/>
        </w:rPr>
        <w:t xml:space="preserve"> (σύνδεση με προσωπικό κωδικό, κουτάκι «συμφωνώ», αρχείο με έκδοση κειμένου και ώρα): επαρκεί για το συμφωνητικό συνεργασίας και για τη ρητή συγκατάθεση; Θέλετε για τους οικονομικούς όρους Ψηφιακή Βεβαίωση Εγγράφου (gov.gr);</w:t>
      </w:r>
    </w:p>
    <w:p>
      <w:pPr>
        <w:pStyle w:val="ListNumber"/>
      </w:pPr>
      <w:r>
        <w:rPr>
          <w:b/>
        </w:rPr>
        <w:t>Δήλωση επιπέδου υπηρεσίας για κρίσεις</w:t>
      </w:r>
      <w:r>
        <w:rPr>
          <w:b w:val="0"/>
        </w:rPr>
        <w:t xml:space="preserve"> («δεν είμαστε υπηρεσία έκτακτης ανάγκης», στόχος χρόνου απόκρισης, όχι εγγύηση): σωστή διατύπωση για περιορισμό ευθύνης;</w:t>
      </w:r>
    </w:p>
    <w:p>
      <w:pPr>
        <w:pStyle w:val="ListNumber"/>
      </w:pPr>
      <w:r>
        <w:rPr>
          <w:b/>
        </w:rPr>
        <w:t>Βεβαιώσεις για δικαστήρια:</w:t>
      </w:r>
      <w:r>
        <w:rPr>
          <w:b w:val="0"/>
        </w:rPr>
        <w:t xml:space="preserve"> βεβαιώνουμε μόνο «συμμετοχή σε υπηρεσίες ψυχολόγου και συμβουλευτικής». Σωστό;</w:t>
      </w:r>
    </w:p>
    <w:p>
      <w:pPr>
        <w:pStyle w:val="Heading2"/>
      </w:pPr>
      <w:r>
        <w:t>Γ. Κρίση και υποχρεώσεις</w:t>
      </w:r>
    </w:p>
    <w:p>
      <w:pPr>
        <w:pStyle w:val="ListNumber"/>
      </w:pPr>
      <w:r>
        <w:rPr>
          <w:b/>
        </w:rPr>
        <w:t>Κλήση στο 112 / ΕΚΑΒ χωρίς συναίνεση του μέλους:</w:t>
      </w:r>
      <w:r>
        <w:rPr>
          <w:b w:val="0"/>
        </w:rPr>
        <w:t xml:space="preserve"> πότε επιτρέπεται (κίνδυνος για τη ζωή);</w:t>
      </w:r>
    </w:p>
    <w:p>
      <w:pPr>
        <w:pStyle w:val="ListNumber"/>
      </w:pPr>
      <w:r>
        <w:rPr>
          <w:b/>
        </w:rPr>
        <w:t>Υποχρεώσεις αναφοράς:</w:t>
      </w:r>
      <w:r>
        <w:rPr>
          <w:b w:val="0"/>
        </w:rPr>
        <w:t xml:space="preserve"> κακοποίηση παιδιού, ενδοοικογενειακή βία (ν. 3500/2006), απειλή κατά τρίτου — τι ισχύει για ψυχολόγους και για βιωματικούς συμβούλους;</w:t>
      </w:r>
    </w:p>
    <w:p>
      <w:pPr>
        <w:pStyle w:val="Heading2"/>
      </w:pPr>
      <w:r>
        <w:t>Δ. Νομικό πλαίσιο υπηρεσίας</w:t>
      </w:r>
    </w:p>
    <w:p>
      <w:pPr>
        <w:pStyle w:val="ListNumber"/>
      </w:pPr>
      <w:r>
        <w:rPr>
          <w:b/>
        </w:rPr>
        <w:t>Ν. 4139/2013 άρθρο 58</w:t>
      </w:r>
      <w:r>
        <w:rPr>
          <w:b w:val="0"/>
        </w:rPr>
        <w:t xml:space="preserve"> (όπως τροποποιήθηκε με το άρθρο 54 ν. 5129/2024): ο όρος «Συμβουλευτικός Σταθμός» μπορεί να αφορά online υπηρεσία ψυχολόγου και συμβουλευτικής; Το καταστατικό (16/9/2026) δεν αναφέρει απεξάρτηση.</w:t>
      </w:r>
    </w:p>
    <w:p>
      <w:pPr>
        <w:pStyle w:val="ListNumber"/>
      </w:pPr>
      <w:r>
        <w:rPr>
          <w:b/>
        </w:rPr>
        <w:t>Βιωματικοί σύμβουλοι</w:t>
      </w:r>
      <w:r>
        <w:rPr>
          <w:b w:val="0"/>
        </w:rPr>
        <w:t xml:space="preserve"> (ομότιμη υποστήριξη, χωρίς άδεια επαγγέλματος): πώς τους παρουσιάζουμε, τι όρια ρόλου και τι ευθύνη έχει η εταιρεία;</w:t>
      </w:r>
    </w:p>
    <w:p>
      <w:pPr>
        <w:pStyle w:val="ListNumber"/>
      </w:pPr>
      <w:r>
        <w:rPr>
          <w:b/>
        </w:rPr>
        <w:t>Νέο νομοσχέδιο για τους ψυχολόγους</w:t>
      </w:r>
      <w:r>
        <w:rPr>
          <w:b w:val="0"/>
        </w:rPr>
        <w:t xml:space="preserve"> (Πανελλήνιος Σύλλογος, Παρατηρητήριο Ψυχοθεραπείας και Συμβουλευτικής — διαβούλευση ως 2/10/2026): χρειάζεται να προετοιμαστούμε;</w:t>
      </w:r>
    </w:p>
    <w:p>
      <w:pPr>
        <w:pStyle w:val="ListNumber"/>
      </w:pPr>
      <w:r>
        <w:rPr>
          <w:b/>
        </w:rPr>
        <w:t>Μέλη εκτός ΕΕ</w:t>
      </w:r>
      <w:r>
        <w:rPr>
          <w:b w:val="0"/>
        </w:rPr>
        <w:t xml:space="preserve"> (ΗΒ, ΗΠΑ, Αυστραλία): επιτρέπεται υπηρεσία ψυχολόγου από Ελλάδα; Μόνο ομότιμη υποστήριξη;</w:t>
      </w:r>
    </w:p>
    <w:p>
      <w:pPr>
        <w:pStyle w:val="Heading2"/>
      </w:pPr>
      <w:r>
        <w:t>Ε. Η εφαρμογή</w:t>
      </w:r>
    </w:p>
    <w:p>
      <w:pPr>
        <w:pStyle w:val="ListNumber"/>
      </w:pPr>
      <w:r>
        <w:rPr>
          <w:b/>
        </w:rPr>
        <w:t>Δείκτης πορείας</w:t>
      </w:r>
      <w:r>
        <w:rPr>
          <w:b w:val="0"/>
        </w:rPr>
        <w:t xml:space="preserve"> (χρωματικές σημάνσεις από το ημερολόγιο, τις βλέπει μόνο η Εύα, απόφαση πάντα από ψυχολόγο): συμφωνείτε ότι, περιγραμμένος ως οργανωτικό εργαλείο, μένει εκτός κανονισμού ιατροτεχνολογικών προϊόντων (MDR) και AI Act; Χρειάζεται γνωστοποίηση ως αυτοματοποιημένη αξιολόγηση (άρθρο 22 ΓΚΠΔ);</w:t>
      </w:r>
    </w:p>
    <w:p>
      <w:r>
        <w:br w:type="page"/>
      </w:r>
    </w:p>
    <w:p>
      <w:pPr>
        <w:pStyle w:val="Heading1"/>
      </w:pPr>
      <w:r>
        <w:t>Έρευνα: Εκτίμηση αντικτύπου (DPIA), Υπεύθυνος Προστασίας Δεδομένων (DPO), ηλεκτρονική υπογραφή</w:t>
      </w:r>
    </w:p>
    <w:p>
      <w:r>
        <w:rPr>
          <w:b w:val="0"/>
          <w:i/>
        </w:rPr>
        <w:t>Έρευνα 27/9/2026 για την Εύα. Δεν είναι νομική γνωμοδότηση — χρειάζεται επιβεβαίωση από τον νομικό σύμβουλο (Φώτσινο).</w:t>
      </w:r>
    </w:p>
    <w:p>
      <w:r>
        <w:rPr>
          <w:b w:val="0"/>
          <w:i/>
        </w:rPr>
        <w:t>Οι απευθείας σελίδες (dpa.gr, eur-lex, edpb κ.ά.) δεν ήταν προσβάσιμες από το περιβάλλον έρευνας· οι αναφορές στηρίζονται σε αποσπάσματα αναζήτησης και στο κείμενο του ΓΚΠΔ. Αριθμοί άρθρων/σημείων να επαληθευτούν.</w:t>
      </w:r>
    </w:p>
    <w:p>
      <w:pPr>
        <w:pStyle w:val="Heading2"/>
      </w:pPr>
      <w:r>
        <w:t>1. Εκτίμηση αντικτύπου (άρθρο 35 ΓΚΠΔ) — Ναι, στην πράξη υποχρεωτική</w:t>
      </w:r>
    </w:p>
    <w:p>
      <w:pPr>
        <w:pStyle w:val="ListBullet"/>
      </w:pPr>
      <w:r>
        <w:rPr>
          <w:b w:val="0"/>
        </w:rPr>
        <w:t xml:space="preserve">Κατάλογος ΑΠΔΠΧ: </w:t>
      </w:r>
      <w:r>
        <w:rPr>
          <w:b/>
        </w:rPr>
        <w:t>Απόφαση 65/2018, ΦΕΚ Β΄ 1622/10-5-2019</w:t>
      </w:r>
      <w:r>
        <w:rPr>
          <w:b w:val="0"/>
        </w:rPr>
        <w:t xml:space="preserve"> (άρθρο 35 παρ. 4). Σημείο 1.1: συστηματική αξιολόγηση/βαθμολόγηση/πρόβλεψη που αφορά υγεία και συμπεριφορά· παράδειγμα «νέων τεχνολογιών»: εφαρμογές mhealth που δημιουργούν προφίλ. dpa.gr (https://www.dpa.gr/el/enimerwtiko/deltia/dimosieysi-sto-fek-b-162210-5-2019-toy-katalogoy-me-ta-eidi-ton-praxeon) · PDF (https://www.dpa.gr/sites/default/files/2019-09/65_2018anonym.pdf) · lawspot (https://www.lawspot.gr/nomikes-plirofories/nomothesia/apofasi-65-2018-arhis-prostasias-dedomenon-prosopikoy-haraktira)</w:t>
      </w:r>
    </w:p>
    <w:p>
      <w:pPr>
        <w:pStyle w:val="ListBullet"/>
      </w:pPr>
      <w:r>
        <w:rPr>
          <w:b w:val="0"/>
        </w:rPr>
        <w:t>Οδηγίες WP248: με 2 από 9 κριτήρια κατά κανόνα απαιτείται. Το Apex πληροί τουλάχιστον 5: δεδομένα υγείας, ευάλωτα άτομα, βαθμολόγηση (δείκτης πορείας), συστηματική παρακολούθηση (ημερολόγιο), νέα τεχνολογία (εφαρμογή).</w:t>
      </w:r>
    </w:p>
    <w:p>
      <w:pPr>
        <w:pStyle w:val="ListBullet"/>
      </w:pPr>
      <w:r>
        <w:rPr>
          <w:b w:val="0"/>
        </w:rPr>
        <w:t>Άρθρο 36 (προηγούμενη διαβούλευση με την Αρχή): μόνο αν, μετά τα μέτρα, ο κίνδυνος μένει υψηλός.</w:t>
      </w:r>
    </w:p>
    <w:p>
      <w:pPr>
        <w:pStyle w:val="ListBullet"/>
      </w:pPr>
      <w:r>
        <w:rPr>
          <w:b w:val="0"/>
        </w:rPr>
        <w:t>Περιεχόμενο (άρθρο 35 παρ. 7): ροές δεδομένων (Apex, Zoom, Google Forms, Telegram) · αναγκαιότητα/αναλογικότητα · νομική βάση άρθρου 9 · κίνδυνοι (διαρροή, στιγματισμός, λάθος σήμανση, μη απάντηση σε κρίση) · μέτρα (κρυπτογράφηση, ρόλοι, καταγραφή πρόσβασης, ανθρώπινη κρίση πάνω στον δείκτη, διατήρηση/διαγραφή, συμβάσεις εκτελούντων άρθρου 28).</w:t>
      </w:r>
    </w:p>
    <w:p>
      <w:r>
        <w:rPr>
          <w:b/>
        </w:rPr>
        <w:t>Τι να κάνει η Εύα:</w:t>
      </w:r>
      <w:r>
        <w:rPr>
          <w:b w:val="0"/>
        </w:rPr>
        <w:t xml:space="preserve"> γραπτή DPIA πριν μπουν πραγματικά δεδομένα, με το πρότυπο της Αρχής· επιβεβαίωση από τον σύμβουλο των σημείων της 65/2018 που ισχύουν.</w:t>
      </w:r>
    </w:p>
    <w:p>
      <w:pPr>
        <w:pStyle w:val="Heading2"/>
      </w:pPr>
      <w:r>
        <w:t>2. Υπεύθυνος Προστασίας Δεδομένων (άρθρο 37) — Μάλλον όχι ακόμη υποχρεωτικός· οριακό</w:t>
      </w:r>
    </w:p>
    <w:p>
      <w:pPr>
        <w:pStyle w:val="ListBullet"/>
      </w:pPr>
      <w:r>
        <w:rPr>
          <w:b w:val="0"/>
        </w:rPr>
        <w:t xml:space="preserve">Υποχρεωτικός όταν η βασική δραστηριότητα είναι επεξεργασία </w:t>
      </w:r>
      <w:r>
        <w:rPr>
          <w:b/>
        </w:rPr>
        <w:t>μεγάλης κλίμακας</w:t>
      </w:r>
      <w:r>
        <w:rPr>
          <w:b w:val="0"/>
        </w:rPr>
        <w:t xml:space="preserve"> ειδικών κατηγοριών (37 παρ. 1γ). Αιτ. σκέψη 91: ο μεμονωμένος επαγγελματίας υγείας δεν είναι μεγάλη κλίμακα. WP243: «γκρίζα ζώνη» μεταξύ μεμονωμένου επαγγελματία και νοσοκομείου. WP243 (https://ec.europa.eu/information_society/newsroom/image/document/2016-51/wp243_en_40855.pdf)</w:t>
      </w:r>
    </w:p>
    <w:p>
      <w:pPr>
        <w:pStyle w:val="ListBullet"/>
      </w:pPr>
      <w:r>
        <w:rPr>
          <w:b w:val="0"/>
        </w:rPr>
        <w:t>Ν. 4624/2019 (άρθρα 6–8): αφορά δημόσιους φορείς· δεν βρέθηκε επέκταση σε ιδιώτες.</w:t>
      </w:r>
    </w:p>
    <w:p>
      <w:pPr>
        <w:pStyle w:val="ListBullet"/>
      </w:pPr>
      <w:r>
        <w:rPr>
          <w:b w:val="0"/>
        </w:rPr>
        <w:t>Με δεκάδες μέλη είστε στην κάτω πλευρά της γκρίζας ζώνης. Η καθημερινή παρακολούθηση και η ανάπτυξη αδυνατίζουν αυτή τη θέση.</w:t>
      </w:r>
    </w:p>
    <w:p>
      <w:pPr>
        <w:pStyle w:val="ListBullet"/>
      </w:pPr>
      <w:r>
        <w:rPr>
          <w:b w:val="0"/>
        </w:rPr>
        <w:t xml:space="preserve">Αν οριστεί (και εθελοντικά), ισχύουν πλήρως τα άρθρα 37–39: ανεξαρτησία, χωρίς σύγκρουση συμφερόντων, γνωστοποίηση στην Αρχή — </w:t>
      </w:r>
      <w:r>
        <w:rPr>
          <w:b/>
        </w:rPr>
        <w:t>η Εύα δεν μπορεί να είναι DPO</w:t>
      </w:r>
      <w:r>
        <w:rPr>
          <w:b w:val="0"/>
        </w:rPr>
        <w:t>.</w:t>
      </w:r>
    </w:p>
    <w:p>
      <w:r>
        <w:rPr>
          <w:b/>
        </w:rPr>
        <w:t>Τι να κάνει η Εύα:</w:t>
      </w:r>
      <w:r>
        <w:rPr>
          <w:b w:val="0"/>
        </w:rPr>
        <w:t xml:space="preserve"> γραπτή τεκμηρίωση γιατί δεν ορίζεται τώρα· προσφορά για εξωτερικό DPO μερικής απασχόλησης· όριο μελών για επανεξέταση.</w:t>
      </w:r>
    </w:p>
    <w:p>
      <w:pPr>
        <w:pStyle w:val="Heading2"/>
      </w:pPr>
      <w:r>
        <w:t>3. Επιβεβαίωση μέσα στο app ως υπογραφή — Ναι, με πλήρες αρχείο αποδείξεων</w:t>
      </w:r>
    </w:p>
    <w:p>
      <w:pPr>
        <w:pStyle w:val="ListBullet"/>
      </w:pPr>
      <w:r>
        <w:rPr>
          <w:b w:val="0"/>
        </w:rPr>
        <w:t>Ν. 4727/2020 άρθρο 15: έγγραφο με απλή ή προηγμένη ηλεκτρονική υπογραφή = μηχανική απεικόνιση (ΚΠολΔ 444), ελεύθερα εκτιμώμενο από το δικαστήριο· ισοδύναμο με ιδιόχειρη (ΑΚ 160, ΚΠολΔ 443) μόνο η εγκεκριμένη. eIDAS 910/2014 άρθρο 25. lawspot (https://www.lawspot.gr/nomikes-plirofories/nomothesia/n-4727-2020/arthro-15-nomos-4727-2020-ilektronika-idiotika-eggrafa)</w:t>
      </w:r>
    </w:p>
    <w:p>
      <w:pPr>
        <w:pStyle w:val="ListBullet"/>
      </w:pPr>
      <w:r>
        <w:rPr>
          <w:b w:val="0"/>
        </w:rPr>
        <w:t>Οδηγίες ΕΣΠΔ 05/2020: ρητή συναίνεση μπορεί να δοθεί με ηλεκτρονική φόρμα· ο υπεύθυνος πρέπει να μπορεί να την αποδείξει (άρθρο 7 παρ. 1). EDPB (https://www.edpb.europa.eu/system/files/documents/files/file1/edpb_guidelines_202005_consent_en.pdf)</w:t>
      </w:r>
    </w:p>
    <w:p>
      <w:pPr>
        <w:pStyle w:val="ListBullet"/>
      </w:pPr>
      <w:r>
        <w:rPr>
          <w:b w:val="0"/>
        </w:rPr>
        <w:t>(α) Συμφωνητικό συνεργασίας: δεν απαιτείται ειδικός τύπος (ΑΚ 158) → το «συμφωνώ» είναι έγκυρο, με ελεύθερα εκτιμώμενη αποδεικτική δύναμη.</w:t>
      </w:r>
    </w:p>
    <w:p>
      <w:pPr>
        <w:pStyle w:val="ListBullet"/>
      </w:pPr>
      <w:r>
        <w:rPr>
          <w:b w:val="0"/>
        </w:rPr>
        <w:t>(β) Συναίνεση για δεδομένα υγείας: ξεχωριστό, μη προεπιλεγμένο κουτάκι ανά σκοπό, όχι «δεμένο» με τους όρους. Επιφύλαξη: για τον φάκελο ίσως καταλληλότερη βάση το άρθρο 9 παρ. 2(η).</w:t>
      </w:r>
    </w:p>
    <w:p>
      <w:pPr>
        <w:pStyle w:val="ListBullet"/>
      </w:pPr>
      <w:r>
        <w:rPr>
          <w:b w:val="0"/>
        </w:rPr>
        <w:t>Αποθηκεύονται: χρήστης και τρόπος ταυτοποίησης · έκδοση και hash κειμένου · χρονοσφραγίδα · ποιο κουτάκι · IP/συσκευή (περιορισμένη διατήρηση) · ιστορικό ανακλήσεων · αμετάβλητο αρχείο · αντίγραφο στο email του μέλους.</w:t>
      </w:r>
    </w:p>
    <w:p>
      <w:pPr>
        <w:pStyle w:val="ListBullet"/>
      </w:pPr>
      <w:r>
        <w:rPr>
          <w:b w:val="0"/>
        </w:rPr>
        <w:t>Ισχυρότερη υπογραφή (ή Ψηφιακή Βεβαίωση Εγγράφου gov.gr (https://www.gov.gr/ipiresies/polites-kai-kathemerinoteta/psephiaka-eggrapha-gov-gr/psephiake-bebaiose-idiotikou-sumphonetikou)) μόνο αν θέλετε ισχυρή απόδειξη, π.χ. για οικονομικούς όρους.</w:t>
      </w:r>
    </w:p>
    <w:p>
      <w:r>
        <w:rPr>
          <w:b/>
        </w:rPr>
        <w:t>Για το app:</w:t>
      </w:r>
      <w:r>
        <w:rPr>
          <w:b w:val="0"/>
        </w:rPr>
        <w:t xml:space="preserve"> ξεχωριστά κουτάκια ανά σκοπό, εκδόσεις κειμένων, αμετάβλητο αρχείο συναινέσεων, ανάκληση μέσα από το app, αντίγραφο στο email.</w:t>
      </w:r>
    </w:p>
    <w:p>
      <w:r>
        <w:br w:type="page"/>
      </w:r>
    </w:p>
    <w:p>
      <w:pPr>
        <w:pStyle w:val="Heading1"/>
      </w:pPr>
      <w:r>
        <w:t>Έρευνα: Άδειες και ασφάλιση — ψυχολόγοι και βιωματικοί σύμβουλοι</w:t>
      </w:r>
    </w:p>
    <w:p>
      <w:r>
        <w:rPr>
          <w:b w:val="0"/>
          <w:i/>
        </w:rPr>
        <w:t>Έρευνα 27/9/2026 για την Εύα. Δεν είναι νομική γνωμοδότηση — χρειάζεται επιβεβαίωση από νομικό σύμβουλο και ασφαλιστή.</w:t>
      </w:r>
    </w:p>
    <w:p>
      <w:r>
        <w:rPr>
          <w:b w:val="0"/>
          <w:i/>
        </w:rPr>
        <w:t>Πολλά νομικά sites δεν ήταν προσβάσιμα· δεν διαβάστηκε το πλήρες κείμενο του άρθρου 54 ν. 5129/2024 και της ΥΑ Δ2α/41670/2026.</w:t>
      </w:r>
    </w:p>
    <w:p>
      <w:pPr>
        <w:pStyle w:val="Heading2"/>
      </w:pPr>
      <w:r>
        <w:t>1. Είναι νομοθετημένο επάγγελμα ο βιωματικός σύμβουλος;</w:t>
      </w:r>
    </w:p>
    <w:p>
      <w:pPr>
        <w:pStyle w:val="ListBullet"/>
      </w:pPr>
      <w:r>
        <w:rPr>
          <w:b/>
        </w:rPr>
        <w:t>Ψυχολόγος:</w:t>
      </w:r>
      <w:r>
        <w:rPr>
          <w:b w:val="0"/>
        </w:rPr>
        <w:t xml:space="preserve"> τίτλος προστατευμένος (ν. 991/1979)· ασκείται μόνο με </w:t>
      </w:r>
      <w:r>
        <w:rPr>
          <w:b/>
        </w:rPr>
        <w:t>Άδεια Ασκήσεως Επαγγέλματος Ψυχολόγου</w:t>
      </w:r>
      <w:r>
        <w:rPr>
          <w:b w:val="0"/>
        </w:rPr>
        <w:t>. psychology.gr (https://www.psychology.gr/epaggelma-psychologos/1077-adeia-askiseos-epaggelmatos-psychologou.html)</w:t>
      </w:r>
    </w:p>
    <w:p>
      <w:pPr>
        <w:pStyle w:val="ListBullet"/>
      </w:pPr>
      <w:r>
        <w:rPr>
          <w:b/>
        </w:rPr>
        <w:t>Νέο νομοσχέδιο Υπουργείου Υγείας (διαβούλευση ως 2/10/2026):</w:t>
      </w:r>
      <w:r>
        <w:rPr>
          <w:b w:val="0"/>
        </w:rPr>
        <w:t xml:space="preserve"> ΝΠΔΔ «Πανελλήνιος Σύλλογος Ψυχολόγων» με υποχρεωτική εγγραφή· νέος Κώδικας Δεοντολογίας (και για προβολή/social media)· «Εθνικό Παρατηρητήριο Ψυχοθεραπείας και Συμβουλευτικής Ψυχικής Υγείας» που θα ορίζει προδιαγραφές εκπαίδευσης/πιστοποίησης. naftemporiki (https://www.naftemporiki.gr/health/2163245/systinetai-panellinios-syllogos-psychologon-kai-klados-nosileyton-sto-esy-sti-diavoyleysi-to-schedio-nomoy-toy-ypoyrgeioy-ygeias/) · healthweb (https://www.healthweb.gr/psyxologoi-ypoxreotiki-eggrafi-ston-neo-panellinio-syllogo-pote-anastelletai-i-adeia-askisis-epaggelmatos/)</w:t>
      </w:r>
    </w:p>
    <w:p>
      <w:pPr>
        <w:pStyle w:val="ListBullet"/>
      </w:pPr>
      <w:r>
        <w:rPr>
          <w:b/>
        </w:rPr>
        <w:t>Ψυχοθεραπευτής:</w:t>
      </w:r>
      <w:r>
        <w:rPr>
          <w:b w:val="0"/>
        </w:rPr>
        <w:t xml:space="preserve"> ο τίτλος δεν ρυθμίζεται σήμερα από το κράτος.</w:t>
      </w:r>
    </w:p>
    <w:p>
      <w:pPr>
        <w:pStyle w:val="ListBullet"/>
      </w:pPr>
      <w:r>
        <w:rPr>
          <w:b/>
        </w:rPr>
        <w:t>Βιωματικός σύμβουλος / σύμβουλος εξαρτήσεων:</w:t>
      </w:r>
      <w:r>
        <w:rPr>
          <w:b w:val="0"/>
        </w:rPr>
        <w:t xml:space="preserve"> δεν βρέθηκε άδεια, μητρώο ή επαγγελματικό περίγραμμα ΕΟΠΠΕΠ. Στο ΚΕΘΕΑ απασχολούνται απόφοιτοι προγραμμάτων με εκπαίδευση — εσωτερική πρακτική, όχι άδεια. kethea.gr (https://www.kethea.gr/kethea/prosopiko-tou-kethea/)</w:t>
      </w:r>
    </w:p>
    <w:p>
      <w:pPr>
        <w:pStyle w:val="ListBullet"/>
      </w:pPr>
      <w:r>
        <w:rPr>
          <w:b/>
        </w:rPr>
        <w:t>ΕΟΠΑΕ</w:t>
      </w:r>
      <w:r>
        <w:rPr>
          <w:b w:val="0"/>
        </w:rPr>
        <w:t xml:space="preserve"> (ν. 5129/2024, ΝΠΙΔ, συγχώνευση ΟΚΑΝΑ, ΚΕΘΕΑ κ.λπ.)· ΥΑ Δ2α/41670/2026 (ΦΕΚ Β΄ 2308/23-4-2026) για το προσωπικό των μονάδων του — δεν επιβεβαιώθηκε αν προβλέπει «βιωματικό σύμβουλο».</w:t>
      </w:r>
    </w:p>
    <w:p>
      <w:r>
        <w:rPr>
          <w:b/>
        </w:rPr>
        <w:t>Για εσάς:</w:t>
      </w:r>
      <w:r>
        <w:rPr>
          <w:b w:val="0"/>
        </w:rPr>
        <w:t xml:space="preserve"> «βιωματικός σύμβουλος» χωρίς «ψυχολόγος/ψυχοθεραπευτής»· ρητά ότι δεν είναι επαγγελματίες υγείας με άδεια· παρακολούθηση του νομοσχεδίου (το Παρατηρητήριο μπορεί να ρυθμίσει τη «συμβουλευτική»).</w:t>
      </w:r>
    </w:p>
    <w:p>
      <w:pPr>
        <w:pStyle w:val="Heading2"/>
      </w:pPr>
      <w:r>
        <w:t>2. Χρειάζεται ο οργανισμός άδεια;</w:t>
      </w:r>
    </w:p>
    <w:p>
      <w:pPr>
        <w:pStyle w:val="ListBullet"/>
      </w:pPr>
      <w:r>
        <w:rPr>
          <w:b/>
        </w:rPr>
        <w:t>Ν. 4139/2013 άρθρο 51:</w:t>
      </w:r>
      <w:r>
        <w:rPr>
          <w:b w:val="0"/>
        </w:rPr>
        <w:t xml:space="preserve"> «εγκεκριμένοι φορείς» (ΟΚΑΝΑ, ΚΕΘΕΑ, ΨΝΑ, ΨΝΘ) — μόνο αυτοί έχουν ευνοϊκές ποινικές συνέπειες (άρθρα 30–35).</w:t>
      </w:r>
    </w:p>
    <w:p>
      <w:pPr>
        <w:pStyle w:val="ListBullet"/>
      </w:pPr>
      <w:r>
        <w:rPr>
          <w:b/>
        </w:rPr>
        <w:t>Άρθρο 58:</w:t>
      </w:r>
      <w:r>
        <w:rPr>
          <w:b w:val="0"/>
        </w:rPr>
        <w:t xml:space="preserve"> το Υπουργείο Υγείας αδειοδοτεί </w:t>
      </w:r>
      <w:r>
        <w:rPr>
          <w:b/>
        </w:rPr>
        <w:t>Συμβουλευτικούς Σταθμούς</w:t>
      </w:r>
      <w:r>
        <w:rPr>
          <w:b w:val="0"/>
        </w:rPr>
        <w:t>, Κέντρα και Θεραπευτήρια άλλων φορέων· τροποποιήθηκε με το άρθρο 54 ν. 5129/2024 (το νέο κείμενο δεν διαβάστηκε). lawspot (https://www.lawspot.gr/nomikes-plirofories/nomothesia/n-4139-2013/arthro-58-nomos-4139-2013-anaptyxi-epopteia-kai-eleghos)</w:t>
      </w:r>
    </w:p>
    <w:p>
      <w:pPr>
        <w:pStyle w:val="ListBullet"/>
      </w:pPr>
      <w:r>
        <w:rPr>
          <w:b w:val="0"/>
        </w:rPr>
        <w:t>Ν. 5129/2024: Μητρώο Μονάδων Ψυχικής Υγείας ΝΠΙΔ.</w:t>
      </w:r>
    </w:p>
    <w:p>
      <w:pPr>
        <w:pStyle w:val="ListBullet"/>
      </w:pPr>
      <w:r>
        <w:rPr>
          <w:b/>
        </w:rPr>
        <w:t>Εκτίμηση (αβέβαιη):</w:t>
      </w:r>
      <w:r>
        <w:rPr>
          <w:b w:val="0"/>
        </w:rPr>
        <w:t xml:space="preserve"> οι ρυθμίσεις φαίνεται να αφορούν μονάδες με φυσική υποδομή· δεν βρέθηκε ρητή διάταξη για αμιγώς online συμβουλευτική. Ο όρος «Συμβουλευτικός Σταθμός» όμως δημιουργεί κίνδυνο — </w:t>
      </w:r>
      <w:r>
        <w:rPr>
          <w:b/>
        </w:rPr>
        <w:t>να ελεγχθεί από νομικό</w:t>
      </w:r>
      <w:r>
        <w:rPr>
          <w:b w:val="0"/>
        </w:rPr>
        <w:t>. Ο τζόγος δεν ερευνήθηκε χωριστά.</w:t>
      </w:r>
    </w:p>
    <w:p>
      <w:r>
        <w:rPr>
          <w:b/>
        </w:rPr>
        <w:t>Για εσάς (συμφωνεί με το καταστατικό της 16/9/2026):</w:t>
      </w:r>
      <w:r>
        <w:rPr>
          <w:b w:val="0"/>
        </w:rPr>
        <w:t xml:space="preserve"> όχι «μονάδα», «πιστοποιημένο/εγκεκριμένο πρόγραμμα», «θεραπεία απεξάρτησης», «βεβαίωση»· δήλωση ότι δεν είστε φορέας του ΕΟΠΑΕ και δεν εκδίδετε βεβαιώσεις κατά τον ν. 4139/2013.</w:t>
      </w:r>
    </w:p>
    <w:p>
      <w:pPr>
        <w:pStyle w:val="Heading2"/>
      </w:pPr>
      <w:r>
        <w:t>3. Ασφάλιση επαγγελματικής ευθύνης</w:t>
      </w:r>
    </w:p>
    <w:p>
      <w:pPr>
        <w:pStyle w:val="ListBullet"/>
      </w:pPr>
      <w:r>
        <w:rPr>
          <w:b w:val="0"/>
        </w:rPr>
        <w:t>Δεν βρέθηκε υποχρέωση για ψυχολόγους ή συμβούλους (υποχρεωτική μόνο για ορισμένα επαγγέλματα). insurancedaily (https://www.insurancedaily.gr/poies-einai-oi-15-ypochreotikes-asfaliseis-astikis-eythynis-gia-epaggelmaties/)</w:t>
      </w:r>
    </w:p>
    <w:p>
      <w:pPr>
        <w:pStyle w:val="ListBullet"/>
      </w:pPr>
      <w:r>
        <w:rPr>
          <w:b w:val="0"/>
        </w:rPr>
        <w:t>Υπάρχουν προϊόντα για ψυχολόγους (σωματική/ψυχική/οικονομική ζημία, νομική υποστήριξη, παραβίαση εμπιστευτικότητας, επέκταση σε συνεργάτες). interamerican (https://www.interamerican.gr/epixeiriseis/asfalistikes-luseis/asfaleia-astikis-euthinis/asfaleia-epaggelmatikis-euthinis) · AIG (https://www.aig.com.gr/home/risk-solutions/business/security-responsilities/professional-liability)</w:t>
      </w:r>
    </w:p>
    <w:p>
      <w:pPr>
        <w:pStyle w:val="ListBullet"/>
      </w:pPr>
      <w:r>
        <w:rPr>
          <w:b/>
        </w:rPr>
        <w:t>Εκτίμηση:</w:t>
      </w:r>
      <w:r>
        <w:rPr>
          <w:b w:val="0"/>
        </w:rPr>
        <w:t xml:space="preserve"> έντονα συνιστώμενη. Να καλύπτει </w:t>
      </w:r>
      <w:r>
        <w:rPr>
          <w:b/>
        </w:rPr>
        <w:t>ρητά</w:t>
      </w:r>
      <w:r>
        <w:rPr>
          <w:b w:val="0"/>
        </w:rPr>
        <w:t xml:space="preserve"> online συνεδρίες και μέλη στο εξωτερικό. Συμβόλαιο του οργανισμού με ονομαστική επέκταση σε όλους τους συνεργάτες + ατομικό για όσους έχουν μπλοκάκι. Ίσως δύσκολη η ασφάλιση βιωματικών χωρίς πτυχίο — να ρωτηθεί ο ασφαλιστής.</w:t>
      </w:r>
    </w:p>
    <w:p>
      <w:pPr>
        <w:pStyle w:val="Heading2"/>
      </w:pPr>
      <w:r>
        <w:t>4. Φάκελος ανά συνεργάτη (πρόταση)</w:t>
      </w:r>
    </w:p>
    <w:p>
      <w:r>
        <w:rPr>
          <w:b/>
        </w:rPr>
        <w:t>Βιωματικός σύμβουλος:</w:t>
      </w:r>
      <w:r>
        <w:rPr>
          <w:b w:val="0"/>
        </w:rPr>
        <w:t xml:space="preserve"> βεβαίωση ολοκλήρωσης προγράμματος και εκπαίδευσης συμβούλων · γραπτή πολιτική χρόνου αποχής και σχέδιο σε περίπτωση υποτροπής (πρακτική του χώρου, όχι νόμος) · τακτική εποπτεία από κλινικό ψυχολόγο · σαφή όρια ρόλου (όχι διάγνωση, όχι μόνος σε κρίση) · συμφωνητικό εμπιστευτικότητας/GDPR · κώδικας δεοντολογίας · ποινικό μητρώο με κρίση ανά περίπτωση · ασφάλιση.</w:t>
      </w:r>
    </w:p>
    <w:p>
      <w:r>
        <w:rPr>
          <w:b/>
        </w:rPr>
        <w:t>Ψυχολόγος:</w:t>
      </w:r>
      <w:r>
        <w:rPr>
          <w:b w:val="0"/>
        </w:rPr>
        <w:t xml:space="preserve"> άδεια άσκησης · εγγραφή στον νέο Σύλλογο όταν ψηφιστεί · τίτλοι ειδίκευσης · ασφάλιση · εκπαίδευση σε τηλε-ψυχολογία · συμφωνητικό εμπιστευτικότητας · για μέλη στο εξωτερικό: έλεγχος αν η χώρα κατοικίας απαιτεί τοπική άδεια (δεν ερευνήθηκε).</w:t>
      </w:r>
    </w:p>
    <w:p>
      <w:r>
        <w:rPr>
          <w:b w:val="0"/>
        </w:rPr>
        <w:t>Ετήσια ανανέωση και έγγραφη εποπτεία.</w:t>
      </w:r>
    </w:p>
    <w:p>
      <w:r>
        <w:br w:type="page"/>
      </w:r>
    </w:p>
    <w:p>
      <w:pPr>
        <w:pStyle w:val="Heading1"/>
      </w:pPr>
      <w:r>
        <w:t>Παγκόσμια έρευνα 3/4 — Ασφάλεια, κρίση και κανονισμοί ΕΕ (27/9/2026)</w:t>
      </w:r>
    </w:p>
    <w:p>
      <w:r>
        <w:rPr>
          <w:b w:val="0"/>
          <w:i/>
        </w:rPr>
        <w:t>Δεν είναι νομική γνωμοδότηση. Οι πρωτογενείς πηγές δεν ανοίχτηκαν απευθείας· στοιχεία από αποσπάσματα αναζήτησης, να επαληθευτούν.</w:t>
      </w:r>
    </w:p>
    <w:p>
      <w:pPr>
        <w:pStyle w:val="Heading2"/>
      </w:pPr>
      <w:r>
        <w:t>1. Ιατροτεχνολογικά προϊόντα (MDR 2017/745, MDCG 2019-11 Rev.1)</w:t>
      </w:r>
    </w:p>
    <w:p>
      <w:pPr>
        <w:pStyle w:val="ListBullet"/>
      </w:pPr>
      <w:r>
        <w:rPr>
          <w:b w:val="0"/>
        </w:rPr>
        <w:t xml:space="preserve">Κρίνεται από τον </w:t>
      </w:r>
      <w:r>
        <w:rPr>
          <w:b/>
        </w:rPr>
        <w:t>δηλωμένο σκοπό</w:t>
      </w:r>
      <w:r>
        <w:rPr>
          <w:b w:val="0"/>
        </w:rPr>
        <w:t>. Αποθήκευση, επικοινωνία, διοίκηση, ευεξία: όχι ιατροτεχνολογικό. Ο Κανόνας 11 καλύπτει ό,τι «πληροφορεί» κλινική απόφαση (βαθμολογίες, σημαίες) — συνήθως κλάση IIa. MDCG (https://health.ec.europa.eu/system/files/2020-09/md_mdcg_2019_11_guidance_en_0.pdf) · Johner (https://blog.johner-institute.com/regulatory-affairs/mdr-rule-11/)</w:t>
      </w:r>
    </w:p>
    <w:p>
      <w:pPr>
        <w:pStyle w:val="ListBullet"/>
      </w:pPr>
      <w:r>
        <w:rPr>
          <w:b/>
        </w:rPr>
        <w:t>Για το Apex:</w:t>
      </w:r>
      <w:r>
        <w:rPr>
          <w:b w:val="0"/>
        </w:rPr>
        <w:t xml:space="preserve"> ραντεβού, Zoom, ανακοινώσεις, βιβλιοθήκη, κόκκινο κουμπί: εκτός. </w:t>
      </w:r>
      <w:r>
        <w:rPr>
          <w:b/>
        </w:rPr>
        <w:t>Ο δείκτης πορείας είναι ο κίνδυνος.</w:t>
      </w:r>
      <w:r>
        <w:rPr>
          <w:b w:val="0"/>
        </w:rPr>
        <w:t xml:space="preserve"> Τον κρατά έξω: περιγραφή ως οργανωτικό εργαλείο («ποιον να καλέσω πρώτα»), χωρίς «πρόβλεψη/διάγνωση» σε κανένα κείμενο, απλοί ορατοί κανόνες, απόφαση πάντα από ψυχολόγο, καμία αυτόματη κλινική ενέργεια. Γκρίζα ζώνη.</w:t>
      </w:r>
    </w:p>
    <w:p>
      <w:pPr>
        <w:pStyle w:val="Heading2"/>
      </w:pPr>
      <w:r>
        <w:t>2. Τεχνητή Νοημοσύνη (AI Act 2024/1689)</w:t>
      </w:r>
    </w:p>
    <w:p>
      <w:pPr>
        <w:pStyle w:val="ListBullet"/>
      </w:pPr>
      <w:r>
        <w:rPr>
          <w:b w:val="0"/>
        </w:rPr>
        <w:t>Οι οδηγίες της Επιτροπής (6/2/2025) εξαιρούν συστήματα κανόνων που δεν μαθαίνουν. Υψηλού κινδύνου θα ήταν η διαλογή κλήσεων έκτακτης ανάγκης (Παράρτημα III 5δ). Υποχρεώσεις υψηλού κινδύνου μετατέθηκαν στις 2/12/2027 (αριθμός κανονισμού «Omnibus» ανεπιβεβαίωτος). Hogan Lovells (https://www.hoganlovells.com/en/publications/what-is-an-ai-system-the-eu-commissions-guidance)</w:t>
      </w:r>
    </w:p>
    <w:p>
      <w:pPr>
        <w:pStyle w:val="ListBullet"/>
      </w:pPr>
      <w:r>
        <w:rPr>
          <w:b/>
        </w:rPr>
        <w:t>Για το Apex:</w:t>
      </w:r>
      <w:r>
        <w:rPr>
          <w:b w:val="0"/>
        </w:rPr>
        <w:t xml:space="preserve"> ο σημερινός δείκτης πολύ πιθανόν δεν είναι ΤΝ. Αν γίνει μοντέλο μηχανικής μάθησης ή ιεραρχεί αιτήματα κρίσης, αλλάζει. Γραπτό σημείωμα «γιατί δεν είναι ΤΝ».</w:t>
      </w:r>
    </w:p>
    <w:p>
      <w:pPr>
        <w:pStyle w:val="Heading2"/>
      </w:pPr>
      <w:r>
        <w:t>3. Ευρωπαϊκός Χώρος Δεδομένων Υγείας (2025/327)</w:t>
      </w:r>
    </w:p>
    <w:p>
      <w:pPr>
        <w:pStyle w:val="ListBullet"/>
      </w:pPr>
      <w:r>
        <w:rPr>
          <w:b w:val="0"/>
        </w:rPr>
        <w:t xml:space="preserve">Εφαρμογή από 26/3/2027· υποχρεώσεις για συστήματα ηλεκτρονικού φακέλου από 2029/2031· εφαρμογές ευεξίας μόνο προαιρετική σήμανση. </w:t>
      </w:r>
      <w:r>
        <w:rPr>
          <w:b/>
        </w:rPr>
        <w:t>Για το Apex:</w:t>
      </w:r>
      <w:r>
        <w:rPr>
          <w:b w:val="0"/>
        </w:rPr>
        <w:t xml:space="preserve"> καμία άμεση υποχρέωση· να μη δηλώνεται διαλειτουργικότητα με EHR.</w:t>
      </w:r>
    </w:p>
    <w:p>
      <w:pPr>
        <w:pStyle w:val="Heading2"/>
      </w:pPr>
      <w:r>
        <w:t>4. Πρότυπα κρίσης</w:t>
      </w:r>
    </w:p>
    <w:p>
      <w:pPr>
        <w:pStyle w:val="ListBullet"/>
      </w:pPr>
      <w:r>
        <w:rPr>
          <w:b w:val="0"/>
        </w:rPr>
        <w:t>NICE Evidence Standards· DTAC/DCB0129 (υπεύθυνος κλινικής ασφάλειας, αρχείο κινδύνων). Zero Suicide (7 στοιχεία, «ζεστή» παράδοση). Πλάνο Stanley-Brown (6 στοιχεία). Caring contacts: RR 0,57 για απόπειρες στους 12 μήνες. Δεν βρέθηκε δεσμευτικό ευρωπαϊκό/ελληνικό πρότυπο χρόνου απόκρισης. SPRC (https://sprc.org/resources/stanley-brown-safety-plan/) · EDC (https://zerosuicide.edc.org/about/framework)</w:t>
      </w:r>
    </w:p>
    <w:p>
      <w:pPr>
        <w:pStyle w:val="ListBullet"/>
      </w:pPr>
      <w:r>
        <w:rPr>
          <w:b/>
        </w:rPr>
        <w:t>Για το Apex:</w:t>
      </w:r>
      <w:r>
        <w:rPr>
          <w:b w:val="0"/>
        </w:rPr>
        <w:t xml:space="preserve"> το σχέδιο είναι ήδη κοντά. Λείπουν: γραπτή δήλωση επιπέδου υπηρεσίας, αρχείο κινδύνων, δοκιμή του μηχανισμού, ψηφιακό πλάνο ασφάλειας στο κόκκινο κουμπί, caring contacts.</w:t>
      </w:r>
    </w:p>
    <w:p>
      <w:pPr>
        <w:pStyle w:val="Heading2"/>
      </w:pPr>
      <w:r>
        <w:t>5. Αστοχίες απορρήτου</w:t>
      </w:r>
    </w:p>
    <w:p>
      <w:pPr>
        <w:pStyle w:val="ListBullet"/>
      </w:pPr>
      <w:r>
        <w:rPr>
          <w:b w:val="0"/>
        </w:rPr>
        <w:t xml:space="preserve">FTC: BetterHelp 7,8 εκ. $ (2023), GoodRx 1,5 εκ. $ (2023), </w:t>
      </w:r>
      <w:r>
        <w:rPr>
          <w:b/>
        </w:rPr>
        <w:t>Monument (αλκοόλ) 2,5 εκ. $ (2024)</w:t>
      </w:r>
      <w:r>
        <w:rPr>
          <w:b w:val="0"/>
        </w:rPr>
        <w:t xml:space="preserve"> για pixels προς Meta/Google, Cerebral &gt;7 εκ. $. FTC Monument (https://www.ftc.gov/news-events/news/press-releases/2024/04/alcohol-addiction-treatment-firm-will-be-banned-disclosing-health-data-advertising-settle-ftc). Mozilla 2023: 19/32 εφαρμογές ψυχικής υγείας με προειδοποίηση.</w:t>
      </w:r>
    </w:p>
    <w:p>
      <w:pPr>
        <w:pStyle w:val="ListBullet"/>
      </w:pPr>
      <w:r>
        <w:rPr>
          <w:b/>
        </w:rPr>
        <w:t>Vastaamo (Φινλανδία):</w:t>
      </w:r>
      <w:r>
        <w:rPr>
          <w:b w:val="0"/>
        </w:rPr>
        <w:t xml:space="preserve"> διαχειριστικός λογαριασμός «root/root», μη κρυπτογραφημένη βάση, ~33.000 αρχεία με σημειώσεις ψυχοθεραπείας, εκβιασμός ασθενών, καταδίκη του CEO για απόκρυψη, &gt;6 έτη στον δράστη. Krebs (https://krebsonsecurity.com/2024/04/man-who-mass-extorted-psychotherapy-patients-gets-six-years/)</w:t>
      </w:r>
    </w:p>
    <w:p>
      <w:pPr>
        <w:pStyle w:val="Heading2"/>
      </w:pPr>
      <w:r>
        <w:t>6. Προσβασιμότητα (EAA, ν. 4994/2022)</w:t>
      </w:r>
    </w:p>
    <w:p>
      <w:pPr>
        <w:pStyle w:val="ListBullet"/>
      </w:pPr>
      <w:r>
        <w:rPr>
          <w:b w:val="0"/>
        </w:rPr>
        <w:t xml:space="preserve">Από 28/6/2025· καλύπτει συγκεκριμένες υπηρεσίες· εξαιρούνται πολύ μικρές επιχειρήσεις. </w:t>
      </w:r>
      <w:r>
        <w:rPr>
          <w:b/>
        </w:rPr>
        <w:t>Για το Apex:</w:t>
      </w:r>
      <w:r>
        <w:rPr>
          <w:b w:val="0"/>
        </w:rPr>
        <w:t xml:space="preserve"> μάλλον δεν εφαρμόζεται· WCAG 2.1 AA ως καλή πρακτική.</w:t>
      </w:r>
    </w:p>
    <w:p>
      <w:pPr>
        <w:pStyle w:val="Heading2"/>
      </w:pPr>
      <w:r>
        <w:t>Προτάσεις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Πρόταση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Κόπος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Προτεραιότητα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Νομικός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Κείμενο σκοπού app και δείκτη: «οργανωτική υποστήριξη, όχι διάγνωση ή πρόβλεψη» παντού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μικρός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υψηλή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ναι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Δείκτης μόνο με απλούς ορατούς κανόνες· δείχνει τον λόγο του χρώματος· επιβεβαίωση από ψυχολόγο· όχι μηχανική μάθηση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μικρός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υψηλή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όχι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Σημείωμα οριοθέτησης MDR/AI Act/EHDS μέσα στο DPIA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μικρός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μεσαία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ναι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Αρχείο κινδύνων για το κόκκινο κουμπί (Telegram κάτω, push δεν φτάνει, κανείς δεν αναλαμβάνει, λάθος χρώμα) με μέτρο και υπεύθυνο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μεσαίος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υψηλή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όχι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Γραπτή δήλωση επιπέδου υπηρεσίας για κρίσεις (ώρες, στόχος απόκρισης, «δεν είμαστε υπηρεσία έκτακτης ανάγκης»)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μικρός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υψηλή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ναι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Εβδομαδιαία δοκιμή κόκκινου κουμπιού και εφημερίας με ψεύτικη ειδοποίηση· μηνιαία ανασκόπηση συμβάντων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μικρός–μεσαίος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υψηλή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όχι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Ψηφιακό πλάνο ασφάλειας στο προφίλ, πρώτο βήμα του κόκκινου κουμπιού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μεσαίος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υψηλή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όχι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Caring contacts 24 ώρες και 7 μέρες μετά από κρίση και σε απώλεια επαφής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μικρός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μεσαία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όχι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Μέτρα κατά τύπου Vastaamo: MFA προσωπικού, κρυπτογράφηση πεδίων, καταγραφή πρόσβασης, κρυπτογραφημένα backups, χωρίς κοινούς/προεπιλεγμένους κωδικούς, ετήσιος έλεγχος διείσδυσης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μεσαίος–μεγάλος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υψηλή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όχι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Ελεγχόμενο «χωρίς trackers» και στον δημόσιο ιστότοπο, με αυτόματο έλεγχο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μικρός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υψηλή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όχι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Σχέδιο παραβίασης δεδομένων (72 ώρες, υπεύθυνος, πρότυπο επικοινωνίας, πρόβλεψη εκβιασμού μελών)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μικρός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υψηλή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ναι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Προσβασιμότητα WCAG 2.1 AA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μεσαίος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χαμηλή–μεσαία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μόνο αν μπουν πληρωμές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