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APEX-ARTISI ONLINE — Ερωτήματα προς τον κ. Αλαβάνο</w:t>
      </w:r>
    </w:p>
    <w:p>
      <w:pPr>
        <w:pStyle w:val="Heading1"/>
      </w:pPr>
      <w:r>
        <w:t>Ερωτήματα προς τον κ. Αλαβάνο</w:t>
      </w:r>
    </w:p>
    <w:p>
      <w:r>
        <w:rPr>
          <w:b/>
        </w:rPr>
        <w:t>APEX-ARTISI ONLINE · 27/9/2026</w:t>
      </w:r>
    </w:p>
    <w:p>
      <w:r>
        <w:rPr>
          <w:b w:val="0"/>
        </w:rPr>
        <w:t>Ο κ. Αλαβάνος γνωρίζει την εταιρεία και την τροποποίηση του καταστατικού, και έχει ήδη πει ότι για τις online υπηρεσίες δεν χρειάζεται άδεια. Τα ερωτήματα αφορούν την εφαρμογή (ημερολόγιο, σημειώματα, «κόκκινο κουμπί»).</w:t>
      </w:r>
    </w:p>
    <w:p>
      <w:pPr>
        <w:pStyle w:val="ListNumber"/>
      </w:pPr>
      <w:r>
        <w:rPr>
          <w:b w:val="0"/>
        </w:rPr>
        <w:t>Κλήση στο 112 / ΕΚΑΒ χωρίς τη συναίνεση του μέλους: πότε επιτρέπεται και τι καταγράφουμε;</w:t>
      </w:r>
    </w:p>
    <w:p>
      <w:pPr>
        <w:pStyle w:val="ListNumber"/>
      </w:pPr>
      <w:r>
        <w:rPr>
          <w:b w:val="0"/>
        </w:rPr>
        <w:t>Υποχρεώσεις αναφοράς (κακοποίηση παιδιού, ενδοοικογενειακή βία, απειλή κατά τρίτου): τι ισχύει για ψυχολόγους και τι για βιωματικούς συμβούλους;</w:t>
      </w:r>
    </w:p>
    <w:p>
      <w:pPr>
        <w:pStyle w:val="ListNumber"/>
      </w:pPr>
      <w:r>
        <w:rPr>
          <w:b w:val="0"/>
        </w:rPr>
        <w:t>Βιωματικοί σύμβουλοι: παρουσίαση στα μέλη, όρια ρόλου, τι σημαίνει η «εποπτεία ψυχολόγου» του καταστατικού.</w:t>
      </w:r>
    </w:p>
    <w:p>
      <w:pPr>
        <w:pStyle w:val="ListNumber"/>
      </w:pPr>
      <w:r>
        <w:rPr>
          <w:b w:val="0"/>
        </w:rPr>
        <w:t>Πόσα χρόνια κρατάμε φάκελο και σημειώματα, και ως πού ισχύει η διαγραφή;</w:t>
      </w:r>
    </w:p>
    <w:p>
      <w:pPr>
        <w:pStyle w:val="ListNumber"/>
      </w:pPr>
      <w:r>
        <w:rPr>
          <w:b w:val="0"/>
        </w:rPr>
        <w:t>Βεβαιώσεις για δικαστήρια: τι μπορούμε να βεβαιώνουμε;</w:t>
      </w:r>
    </w:p>
    <w:p>
      <w:pPr>
        <w:pStyle w:val="ListNumber"/>
      </w:pPr>
      <w:r>
        <w:rPr>
          <w:b w:val="0"/>
        </w:rPr>
        <w:t>Μέλη από το εξωτερικό: τι ελέγχουμε πριν τα δεχτούμε;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