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 Brain Runtime — Execution TRD</w:t>
      </w:r>
    </w:p>
    <w:p>
      <w:r>
        <w:rPr>
          <w:b/>
        </w:rPr>
        <w:t xml:space="preserve">Status  </w:t>
      </w:r>
      <w:r>
        <w:t xml:space="preserve">Implementation specification / proposed design     </w:t>
      </w:r>
      <w:r>
        <w:rPr>
          <w:b/>
        </w:rPr>
        <w:t xml:space="preserve">Version  </w:t>
      </w:r>
      <w:r>
        <w:t>1.0  |  24 October 2026</w:t>
      </w:r>
    </w:p>
    <w:p>
      <w:pPr>
        <w:pStyle w:val="Subtitle"/>
      </w:pPr>
      <w:r>
        <w:t>The common deterministic execution framework and real-time hybrid orchestration.</w:t>
      </w:r>
    </w:p>
    <w:p>
      <w:r>
        <w:t>Normative terms: MUST = required; SHOULD = preferred; MAY = optional. All numeric thresholds in these documents are provisional engineering targets until validated on target hardware and expert-annotated data.</w:t>
      </w:r>
    </w:p>
    <w:p>
      <w:pPr>
        <w:pStyle w:val="Heading1"/>
      </w:pPr>
      <w:r>
        <w:t>Logical components and ownership</w:t>
      </w:r>
    </w:p>
    <w:tbl>
      <w:tblPr>
        <w:tblStyle w:val="LightShading-Accent1"/>
        <w:tblW w:type="auto" w:w="0"/>
        <w:jc w:val="center"/>
        <w:tblLook w:firstColumn="1" w:firstRow="1" w:lastColumn="0" w:lastRow="0" w:noHBand="0" w:noVBand="1" w:val="04A0"/>
      </w:tblPr>
      <w:tblGrid>
        <w:gridCol w:w="3273"/>
        <w:gridCol w:w="3273"/>
        <w:gridCol w:w="3273"/>
      </w:tblGrid>
      <w:tr>
        <w:tc>
          <w:tcPr>
            <w:tcW w:type="dxa" w:w="3273"/>
          </w:tcPr>
          <w:p>
            <w:r>
              <w:rPr>
                <w:b/>
              </w:rPr>
              <w:t>Module</w:t>
            </w:r>
          </w:p>
        </w:tc>
        <w:tc>
          <w:tcPr>
            <w:tcW w:type="dxa" w:w="3273"/>
          </w:tcPr>
          <w:p>
            <w:r>
              <w:rPr>
                <w:b/>
              </w:rPr>
              <w:t>Input</w:t>
            </w:r>
          </w:p>
        </w:tc>
        <w:tc>
          <w:tcPr>
            <w:tcW w:type="dxa" w:w="3273"/>
          </w:tcPr>
          <w:p>
            <w:r>
              <w:rPr>
                <w:b/>
              </w:rPr>
              <w:t>Output</w:t>
            </w:r>
          </w:p>
        </w:tc>
      </w:tr>
      <w:tr>
        <w:tc>
          <w:tcPr>
            <w:tcW w:type="dxa" w:w="3273"/>
          </w:tcPr>
          <w:p>
            <w:r>
              <w:t>Input controller</w:t>
            </w:r>
          </w:p>
        </w:tc>
        <w:tc>
          <w:tcPr>
            <w:tcW w:type="dxa" w:w="3273"/>
          </w:tcPr>
          <w:p>
            <w:r>
              <w:t>camera frames + metadata</w:t>
            </w:r>
          </w:p>
        </w:tc>
        <w:tc>
          <w:tcPr>
            <w:tcW w:type="dxa" w:w="3273"/>
          </w:tcPr>
          <w:p>
            <w:r>
              <w:t>FramePacket</w:t>
            </w:r>
          </w:p>
        </w:tc>
      </w:tr>
      <w:tr>
        <w:tc>
          <w:tcPr>
            <w:tcW w:type="dxa" w:w="3273"/>
          </w:tcPr>
          <w:p>
            <w:r>
              <w:t>Pose worker</w:t>
            </w:r>
          </w:p>
        </w:tc>
        <w:tc>
          <w:tcPr>
            <w:tcW w:type="dxa" w:w="3273"/>
          </w:tcPr>
          <w:p>
            <w:r>
              <w:t>FramePacket</w:t>
            </w:r>
          </w:p>
        </w:tc>
        <w:tc>
          <w:tcPr>
            <w:tcW w:type="dxa" w:w="3273"/>
          </w:tcPr>
          <w:p>
            <w:r>
              <w:t>PoseFrame</w:t>
            </w:r>
          </w:p>
        </w:tc>
      </w:tr>
      <w:tr>
        <w:tc>
          <w:tcPr>
            <w:tcW w:type="dxa" w:w="3273"/>
          </w:tcPr>
          <w:p>
            <w:r>
              <w:t>Signal processor</w:t>
            </w:r>
          </w:p>
        </w:tc>
        <w:tc>
          <w:tcPr>
            <w:tcW w:type="dxa" w:w="3273"/>
          </w:tcPr>
          <w:p>
            <w:r>
              <w:t>PoseFrame</w:t>
            </w:r>
          </w:p>
        </w:tc>
        <w:tc>
          <w:tcPr>
            <w:tcW w:type="dxa" w:w="3273"/>
          </w:tcPr>
          <w:p>
            <w:r>
              <w:t>FilteredPoseFrame</w:t>
            </w:r>
          </w:p>
        </w:tc>
      </w:tr>
      <w:tr>
        <w:tc>
          <w:tcPr>
            <w:tcW w:type="dxa" w:w="3273"/>
          </w:tcPr>
          <w:p>
            <w:r>
              <w:t>Feature engine</w:t>
            </w:r>
          </w:p>
        </w:tc>
        <w:tc>
          <w:tcPr>
            <w:tcW w:type="dxa" w:w="3273"/>
          </w:tcPr>
          <w:p>
            <w:r>
              <w:t>filtered pose + history</w:t>
            </w:r>
          </w:p>
        </w:tc>
        <w:tc>
          <w:tcPr>
            <w:tcW w:type="dxa" w:w="3273"/>
          </w:tcPr>
          <w:p>
            <w:r>
              <w:t>FeatureVector</w:t>
            </w:r>
          </w:p>
        </w:tc>
      </w:tr>
      <w:tr>
        <w:tc>
          <w:tcPr>
            <w:tcW w:type="dxa" w:w="3273"/>
          </w:tcPr>
          <w:p>
            <w:r>
              <w:t>Sport router</w:t>
            </w:r>
          </w:p>
        </w:tc>
        <w:tc>
          <w:tcPr>
            <w:tcW w:type="dxa" w:w="3273"/>
          </w:tcPr>
          <w:p>
            <w:r>
              <w:t>sport ID + version</w:t>
            </w:r>
          </w:p>
        </w:tc>
        <w:tc>
          <w:tcPr>
            <w:tcW w:type="dxa" w:w="3273"/>
          </w:tcPr>
          <w:p>
            <w:r>
              <w:t>SportContext</w:t>
            </w:r>
          </w:p>
        </w:tc>
      </w:tr>
      <w:tr>
        <w:tc>
          <w:tcPr>
            <w:tcW w:type="dxa" w:w="3273"/>
          </w:tcPr>
          <w:p>
            <w:r>
              <w:t>Temporal engine</w:t>
            </w:r>
          </w:p>
        </w:tc>
        <w:tc>
          <w:tcPr>
            <w:tcW w:type="dxa" w:w="3273"/>
          </w:tcPr>
          <w:p>
            <w:r>
              <w:t>feature sequence</w:t>
            </w:r>
          </w:p>
        </w:tc>
        <w:tc>
          <w:tcPr>
            <w:tcW w:type="dxa" w:w="3273"/>
          </w:tcPr>
          <w:p>
            <w:r>
              <w:t>MovementEvents</w:t>
            </w:r>
          </w:p>
        </w:tc>
      </w:tr>
      <w:tr>
        <w:tc>
          <w:tcPr>
            <w:tcW w:type="dxa" w:w="3273"/>
          </w:tcPr>
          <w:p>
            <w:r>
              <w:t>Criteria executor</w:t>
            </w:r>
          </w:p>
        </w:tc>
        <w:tc>
          <w:tcPr>
            <w:tcW w:type="dxa" w:w="3273"/>
          </w:tcPr>
          <w:p>
            <w:r>
              <w:t>features + rules</w:t>
            </w:r>
          </w:p>
        </w:tc>
        <w:tc>
          <w:tcPr>
            <w:tcW w:type="dxa" w:w="3273"/>
          </w:tcPr>
          <w:p>
            <w:r>
              <w:t>CriterionEvidence</w:t>
            </w:r>
          </w:p>
        </w:tc>
      </w:tr>
      <w:tr>
        <w:tc>
          <w:tcPr>
            <w:tcW w:type="dxa" w:w="3273"/>
          </w:tcPr>
          <w:p>
            <w:r>
              <w:t>Evidence engine</w:t>
            </w:r>
          </w:p>
        </w:tc>
        <w:tc>
          <w:tcPr>
            <w:tcW w:type="dxa" w:w="3273"/>
          </w:tcPr>
          <w:p>
            <w:r>
              <w:t>criterion evidence</w:t>
            </w:r>
          </w:p>
        </w:tc>
        <w:tc>
          <w:tcPr>
            <w:tcW w:type="dxa" w:w="3273"/>
          </w:tcPr>
          <w:p>
            <w:r>
              <w:t>AssessmentSet</w:t>
            </w:r>
          </w:p>
        </w:tc>
      </w:tr>
      <w:tr>
        <w:tc>
          <w:tcPr>
            <w:tcW w:type="dxa" w:w="3273"/>
          </w:tcPr>
          <w:p>
            <w:r>
              <w:t>Coaching policy</w:t>
            </w:r>
          </w:p>
        </w:tc>
        <w:tc>
          <w:tcPr>
            <w:tcW w:type="dxa" w:w="3273"/>
          </w:tcPr>
          <w:p>
            <w:r>
              <w:t>assessment + state</w:t>
            </w:r>
          </w:p>
        </w:tc>
        <w:tc>
          <w:tcPr>
            <w:tcW w:type="dxa" w:w="3273"/>
          </w:tcPr>
          <w:p>
            <w:r>
              <w:t>FeedbackAction</w:t>
            </w:r>
          </w:p>
        </w:tc>
      </w:tr>
      <w:tr>
        <w:tc>
          <w:tcPr>
            <w:tcW w:type="dxa" w:w="3273"/>
          </w:tcPr>
          <w:p>
            <w:r>
              <w:t>Session persistence</w:t>
            </w:r>
          </w:p>
        </w:tc>
        <w:tc>
          <w:tcPr>
            <w:tcW w:type="dxa" w:w="3273"/>
          </w:tcPr>
          <w:p>
            <w:r>
              <w:t>event stream</w:t>
            </w:r>
          </w:p>
        </w:tc>
        <w:tc>
          <w:tcPr>
            <w:tcW w:type="dxa" w:w="3273"/>
          </w:tcPr>
          <w:p>
            <w:r>
              <w:t>durable local log</w:t>
            </w:r>
          </w:p>
        </w:tc>
      </w:tr>
    </w:tbl>
    <w:p>
      <w:r>
        <w:t>One UI process SHOULD only render and coordinate worker messages. No heavy synchronous inference on the main UI thread. Shared contracts are generated from JSON Schema to TypeScript and Pydantic. Data plane modules remain in-process/worker-local to avoid per-frame network RPC.</w:t>
      </w:r>
    </w:p>
    <w:p>
      <w:pPr>
        <w:pStyle w:val="Heading1"/>
      </w:pPr>
      <w:r>
        <w:t>Scheduling, buffers and backpressure</w:t>
      </w:r>
    </w:p>
    <w:p>
      <w:r>
        <w:t>Camera attempts 30 FPS; pose target 15–30 FPS; classification 5–15 Hz or movement-triggered; coaching emitted on state transitions. These are targets, not guarantees.</w:t>
      </w:r>
    </w:p>
    <w:p>
      <w:r>
        <w:t>Latest-frame input slot has size one; overwrite stale frames instead of building an unbounded FIFO. Pose history uses a timestamped fixed-capacity ring buffer sized by duration. Motion windows are time-indexed and resampled with missingness masks.</w:t>
      </w:r>
    </w:p>
    <w:p>
      <w:r>
        <w:t>Workers transfer eligible frame memory without unnecessary copying. Never block camera acquisition on network IO, database transactions or cloud analysis. Backpressure MUST preserve frame IDs and elapsed time.</w:t>
      </w:r>
    </w:p>
    <w:p>
      <w:r>
        <w:t>Client schedules perception based on measured inference time and thermal budget. A fallback mode reduces input resolution and non-critical frequency before disabling core movement checks.</w:t>
      </w:r>
    </w:p>
    <w:p>
      <w:pPr>
        <w:pStyle w:val="Heading1"/>
      </w:pPr>
      <w:r>
        <w:t>Session state machine</w:t>
      </w:r>
    </w:p>
    <w:p>
      <w:pPr>
        <w:spacing w:after="0"/>
      </w:pPr>
      <w:r>
        <w:rPr>
          <w:rFonts w:ascii="Consolas" w:hAnsi="Consolas"/>
          <w:color w:val="132A47"/>
          <w:sz w:val="14"/>
        </w:rPr>
        <w:t>IDLE -&gt; PERMISSIONS -&gt; CALIBRATING -&gt; READY -&gt; ACTIVE</w:t>
      </w:r>
    </w:p>
    <w:p>
      <w:pPr>
        <w:spacing w:after="0"/>
      </w:pPr>
      <w:r>
        <w:rPr>
          <w:rFonts w:ascii="Consolas" w:hAnsi="Consolas"/>
          <w:color w:val="132A47"/>
          <w:sz w:val="14"/>
        </w:rPr>
        <w:t>ACTIVE -&gt; PAUSED -&gt; ACTIVE</w:t>
      </w:r>
    </w:p>
    <w:p>
      <w:pPr>
        <w:spacing w:after="0"/>
      </w:pPr>
      <w:r>
        <w:rPr>
          <w:rFonts w:ascii="Consolas" w:hAnsi="Consolas"/>
          <w:color w:val="132A47"/>
          <w:sz w:val="14"/>
        </w:rPr>
        <w:t>ACTIVE -&gt; COMPLETING -&gt; LOCAL_COMMITTED -&gt; SYNC_PENDING -&gt; SYNCED</w:t>
      </w:r>
    </w:p>
    <w:p>
      <w:pPr>
        <w:spacing w:after="0"/>
      </w:pPr>
      <w:r>
        <w:rPr>
          <w:rFonts w:ascii="Consolas" w:hAnsi="Consolas"/>
          <w:color w:val="132A47"/>
          <w:sz w:val="14"/>
        </w:rPr>
        <w:t>ANY_ACTIVE -&gt; DEGRADED (camera loss / insufficient visibility)</w:t>
      </w:r>
    </w:p>
    <w:p>
      <w:pPr>
        <w:spacing w:after="0"/>
      </w:pPr>
      <w:r>
        <w:rPr>
          <w:rFonts w:ascii="Consolas" w:hAnsi="Consolas"/>
          <w:color w:val="132A47"/>
          <w:sz w:val="14"/>
        </w:rPr>
        <w:t>DEGRADED -&gt; ACTIVE after revalidation</w:t>
      </w:r>
    </w:p>
    <w:p>
      <w:pPr>
        <w:spacing w:after="0"/>
      </w:pPr>
      <w:r>
        <w:rPr>
          <w:rFonts w:ascii="Consolas" w:hAnsi="Consolas"/>
          <w:color w:val="132A47"/>
          <w:sz w:val="14"/>
        </w:rPr>
        <w:t>FATAL -&gt; FAILED with recoverable event log</w:t>
      </w:r>
    </w:p>
    <w:p>
      <w:r>
        <w:t>Sport package and model versions are pinned at start of ACTIVE; update only between sessions. All transitions are idempotent and timestamped. Resume after app suspend MUST reset temporal windows rather than treating a large gap as continuous movement.</w:t>
      </w:r>
    </w:p>
    <w:p>
      <w:pPr>
        <w:pStyle w:val="Heading1"/>
      </w:pPr>
      <w:r>
        <w:t>Traceable event schema</w:t>
      </w:r>
    </w:p>
    <w:p>
      <w:pPr>
        <w:spacing w:after="0"/>
      </w:pPr>
      <w:r>
        <w:rPr>
          <w:rFonts w:ascii="Consolas" w:hAnsi="Consolas"/>
          <w:color w:val="132A47"/>
          <w:sz w:val="14"/>
        </w:rPr>
        <w:t>type EventEnvelope&lt;T&gt; = {</w:t>
      </w:r>
    </w:p>
    <w:p>
      <w:pPr>
        <w:spacing w:after="0"/>
      </w:pPr>
      <w:r>
        <w:rPr>
          <w:rFonts w:ascii="Consolas" w:hAnsi="Consolas"/>
          <w:color w:val="132A47"/>
          <w:sz w:val="14"/>
        </w:rPr>
        <w:t xml:space="preserve"> schemaVersion: string; sessionId: string; eventId: string;</w:t>
      </w:r>
    </w:p>
    <w:p>
      <w:pPr>
        <w:spacing w:after="0"/>
      </w:pPr>
      <w:r>
        <w:rPr>
          <w:rFonts w:ascii="Consolas" w:hAnsi="Consolas"/>
          <w:color w:val="132A47"/>
          <w:sz w:val="14"/>
        </w:rPr>
        <w:t xml:space="preserve"> monotonicMs: number; wallClockIso?: string;</w:t>
      </w:r>
    </w:p>
    <w:p>
      <w:pPr>
        <w:spacing w:after="0"/>
      </w:pPr>
      <w:r>
        <w:rPr>
          <w:rFonts w:ascii="Consolas" w:hAnsi="Consolas"/>
          <w:color w:val="132A47"/>
          <w:sz w:val="14"/>
        </w:rPr>
        <w:t xml:space="preserve"> sportPackId: string; sportPackVersion: string;</w:t>
      </w:r>
    </w:p>
    <w:p>
      <w:pPr>
        <w:spacing w:after="0"/>
      </w:pPr>
      <w:r>
        <w:rPr>
          <w:rFonts w:ascii="Consolas" w:hAnsi="Consolas"/>
          <w:color w:val="132A47"/>
          <w:sz w:val="14"/>
        </w:rPr>
        <w:t xml:space="preserve"> producer: string; payload: T;</w:t>
      </w:r>
    </w:p>
    <w:p>
      <w:pPr>
        <w:spacing w:after="0"/>
      </w:pPr>
      <w:r>
        <w:rPr>
          <w:rFonts w:ascii="Consolas" w:hAnsi="Consolas"/>
          <w:color w:val="132A47"/>
          <w:sz w:val="14"/>
        </w:rPr>
        <w:t>};</w:t>
      </w:r>
    </w:p>
    <w:p>
      <w:r>
        <w:t>Use uint64-compatible frame identifiers; exact ordering is based on monotonically increasing frame index inside each camera stream. Session events are append-only with transactional local checkpoints and idempotent cloud ingestion.</w:t>
      </w:r>
    </w:p>
    <w:p>
      <w:pPr>
        <w:pStyle w:val="Heading1"/>
      </w:pPr>
      <w:r>
        <w:t>Contract and error semantics</w:t>
      </w:r>
    </w:p>
    <w:p>
      <w:r>
        <w:t>All messages MUST include schema_version, session_id, event_id or frame_id, monotonic timestamp, model/rule provenance, and quality flags as appropriate. Never assume wall-clock time is monotonic.</w:t>
      </w:r>
    </w:p>
    <w:p>
      <w:r>
        <w:t>Missing or occluded measurement MUST be represented by a nullable value and a typed reason, not zero and not an invented measurement. Coordinate frames and units are mandatory.</w:t>
      </w:r>
    </w:p>
    <w:p>
      <w:r>
        <w:t>Recoverable failures use structured error codes; a dependent feature becomes NOT_ASSESSABLE without stopping camera capture. Unknown model IDs and incompatible contract versions are rejected closed.</w:t>
      </w:r>
    </w:p>
    <w:p>
      <w:pPr>
        <w:pStyle w:val="Heading1"/>
      </w:pPr>
      <w:r>
        <w:t>Observability and acceptance</w:t>
      </w:r>
    </w:p>
    <w:p>
      <w:r>
        <w:t>Emit per-stage processing duration, queue age, discarded frame count, memory, dropped inference count, timeout and abstention reason. Do not log raw images or identifying media by default.</w:t>
      </w:r>
    </w:p>
    <w:p>
      <w:r>
        <w:t>Unit tests: synthetic geometric fixtures and edge cases. Integration tests: golden pose sequences. Regression tests: representative sport packages. Benchmark sustained 20-minute sessions on reference devices.</w:t>
      </w:r>
    </w:p>
    <w:p>
      <w:r>
        <w:t>Definition of done: schema validated, deterministic tests green, a specific failure fallback implemented, performance characterized on reference hardware, and documentation and telemetry updated.</w:t>
      </w:r>
    </w:p>
    <w:sectPr w:rsidR="00FC693F" w:rsidRPr="0006063C" w:rsidSect="00034616">
      <w:headerReference w:type="default" r:id="rId9"/>
      <w:footerReference w:type="default" r:id="rId10"/>
      <w:pgSz w:w="12240" w:h="15840"/>
      <w:pgMar w:top="1051" w:right="1210" w:bottom="936" w:left="1210"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ApexFormz • Controlled technical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D69A4"/>
      </w:rPr>
      <w:t>APEXFORMZ  /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32A47"/>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D69A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32A4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