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Shooting Sport Brain — Sport Engine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Implementable domain specification for shooting. Court/range/table geometry, game rules, scoring semantics, movements, coaching criteria and equipment adapters reside here.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Domain data ownership</w:t>
      </w:r>
    </w:p>
    <w:p>
      <w:r>
        <w:t>Range discipline details: lane geometry, target distance, firing-line location, target classes, safety zones, equipment and camera-safe positions. Store separately for air pistol, air rifle and any future disciplines.</w:t>
      </w:r>
    </w:p>
    <w:p>
      <w:r>
        <w:t>Competition format, allowed stances/equipment, safety procedures and discipline-specific scoring are versioned. Never confuse training posture score with actual shooting score.</w:t>
      </w:r>
    </w:p>
    <w:p>
      <w:r>
        <w:t>Required files: court_geometry.json, competition_rules.json, equipment_catalog.json, movement_catalog.json, phase_graphs.json, technique_criteria.json, feedback_templates.json and provenance.json. These are sport-pack assets with immutable version identifiers.</w:t>
      </w:r>
    </w:p>
    <w:p>
      <w:pPr>
        <w:pStyle w:val="Heading1"/>
      </w:pPr>
      <w:r>
        <w:t>Movement taxonomy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Movement ID (proposed)</w:t>
            </w:r>
          </w:p>
        </w:tc>
        <w:tc>
          <w:tcPr>
            <w:tcW w:type="dxa" w:w="327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73"/>
          </w:tcPr>
          <w:p>
            <w:r>
              <w:t>shooting.setup_stance</w:t>
            </w:r>
          </w:p>
        </w:tc>
        <w:tc>
          <w:tcPr>
            <w:tcW w:type="dxa" w:w="3273"/>
          </w:tcPr>
          <w:p>
            <w:r>
              <w:t>static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shooting.aiming_hold</w:t>
            </w:r>
          </w:p>
        </w:tc>
        <w:tc>
          <w:tcPr>
            <w:tcW w:type="dxa" w:w="3273"/>
          </w:tcPr>
          <w:p>
            <w:r>
              <w:t>static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shooting.trigger-phase_proxy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shooting.follow-through_hold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shooting.recovery/reset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</w:tbl>
    <w:p>
      <w:r>
        <w:t>Same: name alias points to canonical movement. Similar: distinct movement with typed similarity and hard-negative training link. Neither may silently overwrite prior user annotations.</w:t>
      </w:r>
    </w:p>
    <w:p>
      <w:pPr>
        <w:pStyle w:val="Heading1"/>
      </w:pPr>
      <w:r>
        <w:t>Phase modeling</w:t>
      </w:r>
    </w:p>
    <w:p>
      <w:r>
        <w:t>setup -&gt; acquisition -&gt; holding -&gt; trigger event (only if sensed) -&gt; follow-through -&gt; reset</w:t>
      </w:r>
    </w:p>
    <w:p>
      <w:r>
        <w:t>Phase state-machine MAY omit or combine phases based on movement type; missing visual contact evidence must be labeled estimated_contact or unobserved rather than confirmed contact. Use causally accessible information in the live classifier.</w:t>
      </w:r>
    </w:p>
    <w:p>
      <w:pPr>
        <w:pStyle w:val="Heading1"/>
      </w:pPr>
      <w:r>
        <w:t>Sport criteria and observable features</w:t>
      </w:r>
    </w:p>
    <w:p>
      <w:r>
        <w:t>shoulder/wrist posture; torso lean; feet stance geometry; hold stability proxies; repeatability across trials; drift in selected body keypoints</w:t>
      </w:r>
    </w:p>
    <w:p>
      <w:r>
        <w:t>Each criterion defines criterion_id, required feature IDs, acceptable range/model reference, applicable technique variant, view constraints, missing-data policy, severity, expert citation, athlete context and validation version. No fabricated normative angle cutoffs.</w:t>
      </w:r>
    </w:p>
    <w:p>
      <w:r>
        <w:t>Rubric profiles distinguish novice, intermediate and advanced context only where justified by empirical/coach review; avoid assuming one ideal body posture for all athletes.</w:t>
      </w:r>
    </w:p>
    <w:p>
      <w:pPr>
        <w:pStyle w:val="Heading1"/>
      </w:pPr>
      <w:r>
        <w:t>Equipment, sensing and game events</w:t>
      </w:r>
    </w:p>
    <w:p>
      <w:r>
        <w:t>Body pose baseline. Sight alignment, trigger behavior, barrel movement and shot scoring need calibrated camera or appropriate hardware/target data.</w:t>
      </w:r>
    </w:p>
    <w:p>
      <w:r>
        <w:t>Implement optional sport object-tracking adapters through the shared perception interfaces; detection probabilities are not sufficient on their own to certify game-rule events.</w:t>
      </w:r>
    </w:p>
    <w:p>
      <w:r>
        <w:t>Court and game rules can support contextual advice and session labeling, but automated line calls or competition scoring are separate validated capabilities.</w:t>
      </w:r>
    </w:p>
    <w:p>
      <w:pPr>
        <w:pStyle w:val="Heading1"/>
      </w:pPr>
      <w:r>
        <w:t>Risk, safety and test clips</w:t>
      </w:r>
    </w:p>
    <w:p>
      <w:r>
        <w:t>False precision from keypoint jitter, unsafe camera placement, lack of true muzzle tracking, mistaking posture for shot accuracy.</w:t>
      </w:r>
    </w:p>
    <w:p>
      <w:r>
        <w:t>Required dataset slices: at least two viewpoints; left/right dominant athlete; novice/expert if available; partial occlusion; outside-of-frame; varied camera height; high-motion and low-motion controls. These are coverage categories, not implied existing dataset guarantees.</w:t>
      </w:r>
    </w:p>
    <w:p>
      <w:r>
        <w:t>Acceptance: approved movement ontology; static/dynamic golden sequences; correct abstention on unseen movement, missing critical landmarks and insufficient viewpoint; no cross-sport model access; no numeric coaching criteria published without validation.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