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Pickleball Sport Brain — Sport Engine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Implementable domain specification for pickleball. Court/range/table geometry, game rules, scoring semantics, movements, coaching criteria and equipment adapters reside here.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Domain data ownership</w:t>
      </w:r>
    </w:p>
    <w:p>
      <w:r>
        <w:t>Court lines, service boxes, net and non-volley-zone polygons; singles/doubles configuration in court-specific coordinate frame.</w:t>
      </w:r>
    </w:p>
    <w:p>
      <w:r>
        <w:t>Service rotation, scoring variants, two-bounce rule, non-volley zone restrictions and faults are rule-edition-specific. Officiating depends on ball/foot contact evidence.</w:t>
      </w:r>
    </w:p>
    <w:p>
      <w:r>
        <w:t>Required files: court_geometry.json, competition_rules.json, equipment_catalog.json, movement_catalog.json, phase_graphs.json, technique_criteria.json, feedback_templates.json and provenance.json. These are sport-pack assets with immutable version identifiers.</w:t>
      </w:r>
    </w:p>
    <w:p>
      <w:pPr>
        <w:pStyle w:val="Heading1"/>
      </w:pPr>
      <w:r>
        <w:t>Movement taxonomy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Movement ID (proposed)</w:t>
            </w:r>
          </w:p>
        </w:tc>
        <w:tc>
          <w:tcPr>
            <w:tcW w:type="dxa" w:w="327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73"/>
          </w:tcPr>
          <w:p>
            <w:r>
              <w:t>pickleball.ready_position</w:t>
            </w:r>
          </w:p>
        </w:tc>
        <w:tc>
          <w:tcPr>
            <w:tcW w:type="dxa" w:w="3273"/>
          </w:tcPr>
          <w:p>
            <w:r>
              <w:t>static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pickleball.split_step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pickleball.forehand_drive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pickleball.backhand_drive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pickleball.dink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pickleball.volley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pickleball.serve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pickleball.overhead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pickleball.recovery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</w:tbl>
    <w:p>
      <w:r>
        <w:t>Same: name alias points to canonical movement. Similar: distinct movement with typed similarity and hard-negative training link. Neither may silently overwrite prior user annotations.</w:t>
      </w:r>
    </w:p>
    <w:p>
      <w:pPr>
        <w:pStyle w:val="Heading1"/>
      </w:pPr>
      <w:r>
        <w:t>Phase modeling</w:t>
      </w:r>
    </w:p>
    <w:p>
      <w:r>
        <w:t>ready -&gt; preparation -&gt; loading -&gt; swing -&gt; estimated contact -&gt; follow-through -&gt; recovery</w:t>
      </w:r>
    </w:p>
    <w:p>
      <w:r>
        <w:t>Phase state-machine MAY omit or combine phases based on movement type; missing visual contact evidence must be labeled estimated_contact or unobserved rather than confirmed contact. Use causally accessible information in the live classifier.</w:t>
      </w:r>
    </w:p>
    <w:p>
      <w:pPr>
        <w:pStyle w:val="Heading1"/>
      </w:pPr>
      <w:r>
        <w:t>Sport criteria and observable features</w:t>
      </w:r>
    </w:p>
    <w:p>
      <w:r>
        <w:t>ready stance, kinetic chain timing, paddle-arm alignment, low-position stability during dink, recovery footwork and repeatability</w:t>
      </w:r>
    </w:p>
    <w:p>
      <w:r>
        <w:t>Each criterion defines criterion_id, required feature IDs, acceptable range/model reference, applicable technique variant, view constraints, missing-data policy, severity, expert citation, athlete context and validation version. No fabricated normative angle cutoffs.</w:t>
      </w:r>
    </w:p>
    <w:p>
      <w:r>
        <w:t>Rubric profiles distinguish novice, intermediate and advanced context only where justified by empirical/coach review; avoid assuming one ideal body posture for all athletes.</w:t>
      </w:r>
    </w:p>
    <w:p>
      <w:pPr>
        <w:pStyle w:val="Heading1"/>
      </w:pPr>
      <w:r>
        <w:t>Equipment, sensing and game events</w:t>
      </w:r>
    </w:p>
    <w:p>
      <w:r>
        <w:t>Body pose baseline; optional paddle keypoints; optional ball tracker for contact or bounce context.</w:t>
      </w:r>
    </w:p>
    <w:p>
      <w:r>
        <w:t>Implement optional sport object-tracking adapters through the shared perception interfaces; detection probabilities are not sufficient on their own to certify game-rule events.</w:t>
      </w:r>
    </w:p>
    <w:p>
      <w:r>
        <w:t>Court and game rules can support contextual advice and session labeling, but automated line calls or competition scoring are separate validated capabilities.</w:t>
      </w:r>
    </w:p>
    <w:p>
      <w:pPr>
        <w:pStyle w:val="Heading1"/>
      </w:pPr>
      <w:r>
        <w:t>Risk, safety and test clips</w:t>
      </w:r>
    </w:p>
    <w:p>
      <w:r>
        <w:t>Ball too small in frames, camera viewpoint, short compact swings, contact-time ambiguity and feet outside frame.</w:t>
      </w:r>
    </w:p>
    <w:p>
      <w:r>
        <w:t>Required dataset slices: at least two viewpoints; left/right dominant athlete; novice/expert if available; partial occlusion; outside-of-frame; varied camera height; high-motion and low-motion controls. These are coverage categories, not implied existing dataset guarantees.</w:t>
      </w:r>
    </w:p>
    <w:p>
      <w:r>
        <w:t>Acceptance: approved movement ontology; static/dynamic golden sequences; correct abstention on unseen movement, missing critical landmarks and insufficient viewpoint; no cross-sport model access; no numeric coaching criteria published without validation.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