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Temporal Recognition &amp; Phase Segmentation TRD</w:t>
      </w:r>
    </w:p>
    <w:p>
      <w:r>
        <w:rPr>
          <w:b/>
        </w:rPr>
        <w:t xml:space="preserve">Status  </w:t>
      </w:r>
      <w:r>
        <w:t xml:space="preserve">Implementation specification / proposed design     </w:t>
      </w:r>
      <w:r>
        <w:rPr>
          <w:b/>
        </w:rPr>
        <w:t xml:space="preserve">Version  </w:t>
      </w:r>
      <w:r>
        <w:t>1.0  |  24 October 2026</w:t>
      </w:r>
    </w:p>
    <w:p>
      <w:pPr>
        <w:pStyle w:val="Subtitle"/>
      </w:pPr>
      <w:r>
        <w:t>Training and runtime specification for movement classifiers and phase/event state machines.</w:t>
      </w:r>
    </w:p>
    <w:p>
      <w:r>
        <w:t>Normative terms: MUST = required; SHOULD = preferred; MAY = optional. All numeric thresholds in these documents are provisional engineering targets until validated on target hardware and expert-annotated data.</w:t>
      </w:r>
    </w:p>
    <w:p>
      <w:pPr>
        <w:pStyle w:val="Heading1"/>
      </w:pPr>
      <w:r>
        <w:t>Input tensor and masking</w:t>
      </w:r>
    </w:p>
    <w:p>
      <w:r>
        <w:t>Timestamps plus per-joint x/y/z (where supported), visibility/missingness masks and derived time-aware velocities. Body-relative features keep handedness and camera view as explicit context. Recommended starting window 1–3 seconds, tuned by movement duration.</w:t>
      </w:r>
    </w:p>
    <w:p>
      <w:r>
        <w:t>Dynamic tensors MUST distinguish padded frames, dropped frames and valid observations. Train and test using the same causal sampling contract as deployed runtime.</w:t>
      </w:r>
    </w:p>
    <w:p>
      <w:pPr>
        <w:pStyle w:val="Heading1"/>
      </w:pPr>
      <w:r>
        <w:t>Model choices and baselines</w:t>
      </w:r>
    </w:p>
    <w:p>
      <w:r>
        <w:t>Start with deterministic motion/state heuristics for straightforward movements, and lightweight causal TCN for richer recognition; compare ST-GCN on athlete-held-out splits as challenger. Recognizer outputs per-sport class probabilities including UNKNOWN.</w:t>
      </w:r>
    </w:p>
    <w:p>
      <w:r>
        <w:t>Phase model can be TCN temporal segmentation or constrained hidden-state transitions. Per-frame predictions require hysteresis, minimum event duration and configurable phase transition graph. No future-frame leakage in live inference.</w:t>
      </w:r>
    </w:p>
    <w:p>
      <w:r>
        <w:t>Offline retrospective analyzer MAY refine phase boundaries with bidirectional windows; output identifies result as offline and records processing model version.</w:t>
      </w:r>
    </w:p>
    <w:p>
      <w:pPr>
        <w:pStyle w:val="Heading1"/>
      </w:pPr>
      <w:r>
        <w:t>Recognition and state semantics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IDLE -&gt; CANDIDATE -&gt; CONFIRMED -&gt; EXECUTING -&gt; COMPLETE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                   |                    |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                UNKNOWN               ABORTED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                   ^                    |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 xml:space="preserve">                    +--------------------+</w:t>
      </w:r>
    </w:p>
    <w:p>
      <w:r>
        <w:t>Thresholds are sport- and movement-calibrated; do not use a universal 0.8 confidence cutoff without reliability study. Unknown and near-duplicate movements are explicit negative classes.</w:t>
      </w:r>
    </w:p>
    <w:p>
      <w:r>
        <w:t>Output {movement_id, phase_id, start_ms, end_ms?, confidence, evidence_frames, state, model_version, unknown_reason?}; transitions are monotonic and idempotent.</w:t>
      </w:r>
    </w:p>
    <w:p>
      <w:pPr>
        <w:pStyle w:val="Heading1"/>
      </w:pPr>
      <w:r>
        <w:t>Training and evaluation</w:t>
      </w:r>
    </w:p>
    <w:p>
      <w:r>
        <w:t>Group split by athlete and capture session; all four synchronized views of one execution belong to the same split. Report macro-F1, per-class confusion, unknown false-acceptance, phase boundary MAE, calibration ECE, and per-camera-view results.</w:t>
      </w:r>
    </w:p>
    <w:p>
      <w:r>
        <w:t>Use augmentations constrained by physics and semantics: modest landmark jitter, masked occlusion, temporal resampling and mirroring only when handedness and movement labels transform correctly.</w:t>
      </w:r>
    </w:p>
    <w:p>
      <w:r>
        <w:t>Export quantized ONNX variant only if it meets error and latency gates on representative devices; maintain float baseline for equivalence testing.</w:t>
      </w:r>
    </w:p>
    <w:p>
      <w:pPr>
        <w:pStyle w:val="Heading1"/>
      </w:pPr>
      <w:r>
        <w:t>Contract and error semantics</w:t>
      </w:r>
    </w:p>
    <w:p>
      <w:r>
        <w:t>All messages MUST include schema_version, session_id, event_id or frame_id, monotonic timestamp, model/rule provenance, and quality flags as appropriate. Never assume wall-clock time is monotonic.</w:t>
      </w:r>
    </w:p>
    <w:p>
      <w:r>
        <w:t>Missing or occluded measurement MUST be represented by a nullable value and a typed reason, not zero and not an invented measurement. Coordinate frames and units are mandatory.</w:t>
      </w:r>
    </w:p>
    <w:p>
      <w:r>
        <w:t>Recoverable failures use structured error codes; a dependent feature becomes NOT_ASSESSABLE without stopping camera capture. Unknown model IDs and incompatible contract versions are rejected closed.</w:t>
      </w:r>
    </w:p>
    <w:p>
      <w:pPr>
        <w:pStyle w:val="Heading1"/>
      </w:pPr>
      <w:r>
        <w:t>Observability and acceptance</w:t>
      </w:r>
    </w:p>
    <w:p>
      <w:r>
        <w:t>Emit per-stage processing duration, queue age, discarded frame count, memory, dropped inference count, timeout and abstention reason. Do not log raw images or identifying media by default.</w:t>
      </w:r>
    </w:p>
    <w:p>
      <w:r>
        <w:t>Unit tests: synthetic geometric fixtures and edge cases. Integration tests: golden pose sequences. Regression tests: representative sport packages. Benchmark sustained 20-minute sessions on reference devices.</w:t>
      </w:r>
    </w:p>
    <w:p>
      <w:r>
        <w:t>Definition of done: schema validated, deterministic tests green, a specific failure fallback implemented, performance characterized on reference hardware, and documentation and telemetry updated.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51" w:right="1210" w:bottom="936" w:left="121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ApexFormz • Controlled technical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D69A4"/>
      </w:rPr>
      <w:t>APEXFORMZ  /  ENGINEERING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A4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69A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2A4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