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 Fusion, Technique Scoring &amp; Coaching TRD</w:t>
      </w:r>
    </w:p>
    <w:p>
      <w:r>
        <w:rPr>
          <w:b/>
        </w:rPr>
        <w:t xml:space="preserve">Status  </w:t>
      </w:r>
      <w:r>
        <w:t xml:space="preserve">Implementation specification / proposed design     </w:t>
      </w:r>
      <w:r>
        <w:rPr>
          <w:b/>
        </w:rPr>
        <w:t xml:space="preserve">Version  </w:t>
      </w:r>
      <w:r>
        <w:t>1.0  |  24 October 2026</w:t>
      </w:r>
    </w:p>
    <w:p>
      <w:pPr>
        <w:pStyle w:val="Subtitle"/>
      </w:pPr>
      <w:r>
        <w:t>Reliable criterion evaluation, explainable results and stable athlete feedback.</w:t>
      </w:r>
    </w:p>
    <w:p>
      <w:r>
        <w:t>Normative terms: MUST = required; SHOULD = preferred; MAY = optional. All numeric thresholds in these documents are provisional engineering targets until validated on target hardware and expert-annotated data.</w:t>
      </w:r>
    </w:p>
    <w:p>
      <w:pPr>
        <w:pStyle w:val="Heading1"/>
      </w:pPr>
      <w:r>
        <w:t>Criterion state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273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273"/>
          </w:tcPr>
          <w:p>
            <w:r>
              <w:rPr>
                <w:b/>
              </w:rPr>
              <w:t>Output policy</w:t>
            </w:r>
          </w:p>
        </w:tc>
      </w:tr>
      <w:tr>
        <w:tc>
          <w:tcPr>
            <w:tcW w:type="dxa" w:w="3273"/>
          </w:tcPr>
          <w:p>
            <w:r>
              <w:t>PASS</w:t>
            </w:r>
          </w:p>
        </w:tc>
        <w:tc>
          <w:tcPr>
            <w:tcW w:type="dxa" w:w="3273"/>
          </w:tcPr>
          <w:p>
            <w:r>
              <w:t>Measurable + approved criteria satisfied</w:t>
            </w:r>
          </w:p>
        </w:tc>
        <w:tc>
          <w:tcPr>
            <w:tcW w:type="dxa" w:w="3273"/>
          </w:tcPr>
          <w:p>
            <w:r>
              <w:t>May explain success</w:t>
            </w:r>
          </w:p>
        </w:tc>
      </w:tr>
      <w:tr>
        <w:tc>
          <w:tcPr>
            <w:tcW w:type="dxa" w:w="3273"/>
          </w:tcPr>
          <w:p>
            <w:r>
              <w:t>IMPROVE</w:t>
            </w:r>
          </w:p>
        </w:tc>
        <w:tc>
          <w:tcPr>
            <w:tcW w:type="dxa" w:w="3273"/>
          </w:tcPr>
          <w:p>
            <w:r>
              <w:t>Measurable + approved criteria violated</w:t>
            </w:r>
          </w:p>
        </w:tc>
        <w:tc>
          <w:tcPr>
            <w:tcW w:type="dxa" w:w="3273"/>
          </w:tcPr>
          <w:p>
            <w:r>
              <w:t>Corrective cue allowed</w:t>
            </w:r>
          </w:p>
        </w:tc>
      </w:tr>
      <w:tr>
        <w:tc>
          <w:tcPr>
            <w:tcW w:type="dxa" w:w="3273"/>
          </w:tcPr>
          <w:p>
            <w:r>
              <w:t>UNCERTAIN</w:t>
            </w:r>
          </w:p>
        </w:tc>
        <w:tc>
          <w:tcPr>
            <w:tcW w:type="dxa" w:w="3273"/>
          </w:tcPr>
          <w:p>
            <w:r>
              <w:t>Partial/conflicting evidence</w:t>
            </w:r>
          </w:p>
        </w:tc>
        <w:tc>
          <w:tcPr>
            <w:tcW w:type="dxa" w:w="3273"/>
          </w:tcPr>
          <w:p>
            <w:r>
              <w:t>No definitive correction</w:t>
            </w:r>
          </w:p>
        </w:tc>
      </w:tr>
      <w:tr>
        <w:tc>
          <w:tcPr>
            <w:tcW w:type="dxa" w:w="3273"/>
          </w:tcPr>
          <w:p>
            <w:r>
              <w:t>NOT_ASSESSABLE</w:t>
            </w:r>
          </w:p>
        </w:tc>
        <w:tc>
          <w:tcPr>
            <w:tcW w:type="dxa" w:w="3273"/>
          </w:tcPr>
          <w:p>
            <w:r>
              <w:t>Required evidence absent</w:t>
            </w:r>
          </w:p>
        </w:tc>
        <w:tc>
          <w:tcPr>
            <w:tcW w:type="dxa" w:w="3273"/>
          </w:tcPr>
          <w:p>
            <w:r>
              <w:t>Describe missing view/sensor</w:t>
            </w:r>
          </w:p>
        </w:tc>
      </w:tr>
      <w:tr>
        <w:tc>
          <w:tcPr>
            <w:tcW w:type="dxa" w:w="3273"/>
          </w:tcPr>
          <w:p>
            <w:r>
              <w:t>NOT_APPLICABLE</w:t>
            </w:r>
          </w:p>
        </w:tc>
        <w:tc>
          <w:tcPr>
            <w:tcW w:type="dxa" w:w="3273"/>
          </w:tcPr>
          <w:p>
            <w:r>
              <w:t>Criterion not relevant to movement</w:t>
            </w:r>
          </w:p>
        </w:tc>
        <w:tc>
          <w:tcPr>
            <w:tcW w:type="dxa" w:w="3273"/>
          </w:tcPr>
          <w:p>
            <w:r>
              <w:t>Exclude from aggregation</w:t>
            </w:r>
          </w:p>
        </w:tc>
      </w:tr>
    </w:tbl>
    <w:p>
      <w:r>
        <w:t>High action-recognition confidence is not technique confidence. Criterion evaluation is gated on view validity, joint quality, model reliability, athlete context, evidence coverage and rubric approval.</w:t>
      </w:r>
    </w:p>
    <w:p>
      <w:r>
        <w:t>Confidence values from distinct components SHOULD remain separate rather than multiplied into an unjustified pseudo-probability. Learned criterion probability requires post-hoc calibration and validity testing.</w:t>
      </w:r>
    </w:p>
    <w:p>
      <w:pPr>
        <w:pStyle w:val="Heading1"/>
      </w:pPr>
      <w:r>
        <w:t>Fusion and scoring</w:t>
      </w:r>
    </w:p>
    <w:p>
      <w:r>
        <w:t>EvidenceFusion combines direct measurements, validated model errors, phase reliability and coach criteria using an explicit provenance graph. Contradiction =&gt; UNCERTAIN or lower-confidence recommendation; no blind averaging.</w:t>
      </w:r>
    </w:p>
    <w:p>
      <w:r>
        <w:t>Optional normalized score S = sum(w_i*s_i)/sum(w_i) over valid criteria ONLY if coverage &gt;= configurable approved minimum and each subscore is derived from calibrated rubric. If insufficient, score=null and emit coverage report.</w:t>
      </w:r>
    </w:p>
    <w:p>
      <w:r>
        <w:t>Store criterion scores, omitted criteria, method, evidence provenance, weights, uncertainty and rubric version. Aggregate scores across sessions only for comparable versions or recompute with an archived version.</w:t>
      </w:r>
    </w:p>
    <w:p>
      <w:pPr>
        <w:pStyle w:val="Heading1"/>
      </w:pPr>
      <w:r>
        <w:t>Coaching decision state machine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ASSESSMENT -&gt; CANDIDATE_CUE -&gt; STABILITY_GUARD -&gt; PRIORITY_RANK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         -&gt; COOLDOWN_CHECK -&gt; FEEDBACK_ISSUED -&gt; ACK/EXPIRE</w:t>
      </w:r>
    </w:p>
    <w:p>
      <w:r>
        <w:t>Prioritize safety-relevant camera/setup instructions and highest-impact validated technical issues. Maximum one primary correction at a time in active motion; queue optional secondary comments for replay.</w:t>
      </w:r>
    </w:p>
    <w:p>
      <w:r>
        <w:t>Cooldown, persistence/hysteresis and repeated error counter are parameterized by movement. No repetitive or contradictory verbal cues during a swing; cue timing respects movement phase and attention budget.</w:t>
      </w:r>
    </w:p>
    <w:p>
      <w:pPr>
        <w:pStyle w:val="Heading1"/>
      </w:pPr>
      <w:r>
        <w:t>Example rules and response contract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{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"criterion_id":"badminton.smash.trunk_rotation",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"state":"NOT_ASSESSABLE",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"score":null,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"measurement":{"value":null,"unit":"deg","reason":"VIEW_INVALID"},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"confidence":{"movement":0.97,"assessment":null},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"evidence":{"frame_ids":[100,101,102],"view":"front"},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"feedback":null,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"provenance":{"sport_pack":"1.0.0","rubric":"1.0.0"}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}</w:t>
      </w:r>
    </w:p>
    <w:p>
      <w:r>
        <w:t>A human-reviewed feedback catalog maps error_id -&gt; athlete-language cue, rationale, demonstration and localization. Generative text MAY rephrase validated guidance but MUST NOT introduce unsupported biomechanical diagnosis.</w:t>
      </w:r>
    </w:p>
    <w:p>
      <w:pPr>
        <w:pStyle w:val="Heading1"/>
      </w:pPr>
      <w:r>
        <w:t>Validation protocol</w:t>
      </w:r>
    </w:p>
    <w:p>
      <w:r>
        <w:t>Expert raters independently score criterion-level errors; measure agreement and adjudicate conflicts. Evaluate sensitivity, specificity, calibration, false-correction rate per minute, abstention coverage and athlete usability.</w:t>
      </w:r>
    </w:p>
    <w:p>
      <w:r>
        <w:t>Do not claim measured joint torque, injury prediction, spin or shot accuracy from monocular pose. Add a sensor-specific criterion only after its evidence pathway is integrated and validated.</w:t>
      </w:r>
    </w:p>
    <w:p>
      <w:pPr>
        <w:pStyle w:val="Heading1"/>
      </w:pPr>
      <w:r>
        <w:t>Contract and error semantics</w:t>
      </w:r>
    </w:p>
    <w:p>
      <w:r>
        <w:t>All messages MUST include schema_version, session_id, event_id or frame_id, monotonic timestamp, model/rule provenance, and quality flags as appropriate. Never assume wall-clock time is monotonic.</w:t>
      </w:r>
    </w:p>
    <w:p>
      <w:r>
        <w:t>Missing or occluded measurement MUST be represented by a nullable value and a typed reason, not zero and not an invented measurement. Coordinate frames and units are mandatory.</w:t>
      </w:r>
    </w:p>
    <w:p>
      <w:r>
        <w:t>Recoverable failures use structured error codes; a dependent feature becomes NOT_ASSESSABLE without stopping camera capture. Unknown model IDs and incompatible contract versions are rejected closed.</w:t>
      </w:r>
    </w:p>
    <w:p>
      <w:pPr>
        <w:pStyle w:val="Heading1"/>
      </w:pPr>
      <w:r>
        <w:t>Observability and acceptance</w:t>
      </w:r>
    </w:p>
    <w:p>
      <w:r>
        <w:t>Emit per-stage processing duration, queue age, discarded frame count, memory, dropped inference count, timeout and abstention reason. Do not log raw images or identifying media by default.</w:t>
      </w:r>
    </w:p>
    <w:p>
      <w:r>
        <w:t>Unit tests: synthetic geometric fixtures and edge cases. Integration tests: golden pose sequences. Regression tests: representative sport packages. Benchmark sustained 20-minute sessions on reference devices.</w:t>
      </w:r>
    </w:p>
    <w:p>
      <w:r>
        <w:t>Definition of done: schema validated, deterministic tests green, a specific failure fallback implemented, performance characterized on reference hardware, and documentation and telemetry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210" w:bottom="936" w:left="121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ApexFormz • Controlled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69A4"/>
      </w:rPr>
      <w:t>APEXFORMZ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9A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