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Dataset, Annotation &amp; MLOps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From four-view raw capture through reproducible datasets, training, validation and governed deployment.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Data model and lineage</w:t>
      </w:r>
    </w:p>
    <w:p>
      <w:r>
        <w:t>Entities: Athlete (pseudonymous), CaptureSession, Camera, ViewStream, Execution, MovementCanonical, Annotation, ExpertReview, FeatureArtifact, DatasetVersion, ModelRun, EvaluationRun, SportPackRelease. Raw video resides in encrypted object storage; relational metadata in PostgreSQL.</w:t>
      </w:r>
    </w:p>
    <w:p>
      <w:r>
        <w:t>Execution_id groups all four simultaneous views; sample_id distinguishes photo/frame/video. Canonical movement alias mapping and similar relationship are versioned. Label changes produce audit events, not destructive overwrites.</w:t>
      </w:r>
    </w:p>
    <w:p>
      <w:r>
        <w:t>All transforms store source asset checksum, annotation version, algorithm commit, dependency lockfile, pose model version and processing config.</w:t>
      </w:r>
    </w:p>
    <w:p>
      <w:pPr>
        <w:pStyle w:val="Heading1"/>
      </w:pPr>
      <w:r>
        <w:t>Annotation handbook</w:t>
      </w:r>
    </w:p>
    <w:p>
      <w:r>
        <w:t>Movement identity, start/end boundaries and phases, static vs dynamic, view direction, athlete handedness, technique criteria outcomes, visibility and capture-quality labels are independently recorded.</w:t>
      </w:r>
    </w:p>
    <w:p>
      <w:r>
        <w:t>Good/average/bad/perfect are allowed initial ordinal tags but never replace specific error labels. Each label requires a written rubric and adjudication process. Expert disagreement is preserved as uncertainty.</w:t>
      </w:r>
    </w:p>
    <w:p>
      <w:r>
        <w:t>Quality assurance: duplicate review for sampled recordings, ambiguous-case resolution, inter-rater agreement tracking and blinded expert evaluation.</w:t>
      </w:r>
    </w:p>
    <w:p>
      <w:pPr>
        <w:pStyle w:val="Heading1"/>
      </w:pPr>
      <w:r>
        <w:t>Splits and leakage control</w:t>
      </w:r>
    </w:p>
    <w:p>
      <w:r>
        <w:t>Hard requirement: athlete-disjoint test split; all synchronized views and derived samples from one execution stay in same split. Maintain optional location/camera holdouts. Never generate train/test from overlapping clips or frames.</w:t>
      </w:r>
    </w:p>
    <w:p>
      <w:r>
        <w:t>Archive immutable manifest of object URIs + checksums and split IDs; seed and dataset version ensure reproducibility. New models compare against frozen regression test collection.</w:t>
      </w:r>
    </w:p>
    <w:p>
      <w:pPr>
        <w:pStyle w:val="Heading1"/>
      </w:pPr>
      <w:r>
        <w:t>Training pipeline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INGEST -&gt; VALIDATE -&gt; LABEL REVIEW -&gt; SPLIT -&gt; EXTRACT POSE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-&gt; FEATURES -&gt; BASELINE TRAIN -&gt; HYPERPARAM SEARCH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-&gt; CALIBRATE -&gt; EVALUATE -&gt; EDGE BENCHMARK -&gt; EXPORT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-&gt; SIGN + STAGE -&gt; CANARY -&gt; RELEASE / ROLLBACK</w:t>
      </w:r>
    </w:p>
    <w:p>
      <w:r>
        <w:t>Start TCN trained on normalized time-indexed pose sequences with missingness masks. Benchmark ST-GCN only when sufficient per-class and across-athlete coverage is available. Prefer class-balanced reporting, not a single global accuracy.</w:t>
      </w:r>
    </w:p>
    <w:p>
      <w:r>
        <w:t>Use experiment tracking with dataset hash, architecture, optimizer, seed, hardware, code commit and evaluator version; keep ONNX export and precision/quantization equivalence tests.</w:t>
      </w:r>
    </w:p>
    <w:p>
      <w:pPr>
        <w:pStyle w:val="Heading1"/>
      </w:pPr>
      <w:r>
        <w:t>Responsible data governance</w:t>
      </w:r>
    </w:p>
    <w:p>
      <w:r>
        <w:t>Capture consent, intended processing purpose, retention schedule, access grants and withdrawal procedure. For young athletes, obtain applicable guardian authorization and minimize media exposure.</w:t>
      </w:r>
    </w:p>
    <w:p>
      <w:r>
        <w:t>Prefer pose-feature upload over identifiable video for routine session sync. Only upload raw clips for opted-in, clearly scoped deep analysis or quality improvement; treat athletes and coaches as distinct authorization roles.</w:t>
      </w:r>
    </w:p>
    <w:p>
      <w:r>
        <w:t>Define deletion propagation across raw asset, derivatives and training datasets subject to lawful retention and model lifecycle; record audit trails for administrative access.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