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Hybrid Cloud, APIs, Persistence &amp; Distribution TRD</w:t>
      </w:r>
    </w:p>
    <w:p>
      <w:r>
        <w:rPr>
          <w:b/>
        </w:rPr>
        <w:t xml:space="preserve">Status  </w:t>
      </w:r>
      <w:r>
        <w:t xml:space="preserve">Implementation specification / proposed design     </w:t>
      </w:r>
      <w:r>
        <w:rPr>
          <w:b/>
        </w:rPr>
        <w:t xml:space="preserve">Version  </w:t>
      </w:r>
      <w:r>
        <w:t>1.0  |  24 October 2026</w:t>
      </w:r>
    </w:p>
    <w:p>
      <w:pPr>
        <w:pStyle w:val="Subtitle"/>
      </w:pPr>
      <w:r>
        <w:t>Operational integration of edge Brain, Node backend, Python advanced inference and governed package delivery.</w:t>
      </w:r>
    </w:p>
    <w:p>
      <w:r>
        <w:t>Normative terms: MUST = required; SHOULD = preferred; MAY = optional. All numeric thresholds in these documents are provisional engineering targets until validated on target hardware and expert-annotated data.</w:t>
      </w:r>
    </w:p>
    <w:p>
      <w:pPr>
        <w:pStyle w:val="Heading1"/>
      </w:pPr>
      <w:r>
        <w:t>Services and logical deployment</w:t>
      </w:r>
    </w:p>
    <w:p>
      <w:r>
        <w:t>Node/Express owns auth, athlete sessions, sport catalog, manifests, progress and job scheduling. FastAPI owns advanced inference and optional model-serving worker endpoints. Redis-backed queue handles durable retries/dead-letter behavior. PostgreSQL is source of truth for sessions, evaluations, manifests and provenance. Object storage holds encrypted videos, model files, replay assets and immutable training artifacts.</w:t>
      </w:r>
    </w:p>
    <w:p>
      <w:r>
        <w:t>Do not stream all raw camera frames to the server for default live coaching. Cloud deep-analysis jobs accept consented asset references or validated feature bundles. Service boundaries are logical and may share hosts initially.</w:t>
      </w:r>
    </w:p>
    <w:p>
      <w:pPr>
        <w:pStyle w:val="Heading1"/>
      </w:pPr>
      <w:r>
        <w:t>REST contracts and idempotency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POST /api/v1/sessions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POST /api/v1/sessions/{id}/events  # batch; idempotency by eventId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POST /api/v1/sessions/{id}/complete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GET  /api/v1/sport-packs/{sportId}/manifest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GET  /api/v1/model-releases/compatible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POST /api/v1/analysis/jobs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GET  /api/v1/analysis/jobs/{jobId}</w:t>
      </w:r>
    </w:p>
    <w:p>
      <w:pPr>
        <w:spacing w:after="0"/>
      </w:pPr>
      <w:r>
        <w:rPr>
          <w:rFonts w:ascii="Consolas" w:hAnsi="Consolas"/>
          <w:color w:val="132A47"/>
          <w:sz w:val="14"/>
        </w:rPr>
        <w:t>GET  /api/v1/athletes/{athleteId}/progress</w:t>
      </w:r>
    </w:p>
    <w:p>
      <w:r>
        <w:t>API version is distinct from model, sport-pack and data-schema version. Every write validates authorization, payload schema and ownership; event ingestion uses unique(session_id,event_id).</w:t>
      </w:r>
    </w:p>
    <w:p>
      <w:r>
        <w:t>Advanced job state: QUEUED -&gt; RUNNING -&gt; COMPLETED or FAILED/RETRYABLE; request returns 202 with job_id and retry_after guidance. Worker updates use durable commit and bounded retries.</w:t>
      </w:r>
    </w:p>
    <w:p>
      <w:pPr>
        <w:pStyle w:val="Heading1"/>
      </w:pPr>
      <w:r>
        <w:t>Relational schema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910"/>
          </w:tcPr>
          <w:p>
            <w:r>
              <w:rPr>
                <w:b/>
              </w:rPr>
              <w:t>Core columns / constraints</w:t>
            </w:r>
          </w:p>
        </w:tc>
      </w:tr>
      <w:tr>
        <w:tc>
          <w:tcPr>
            <w:tcW w:type="dxa" w:w="4910"/>
          </w:tcPr>
          <w:p>
            <w:r>
              <w:t>sessions</w:t>
            </w:r>
          </w:p>
        </w:tc>
        <w:tc>
          <w:tcPr>
            <w:tcW w:type="dxa" w:w="4910"/>
          </w:tcPr>
          <w:p>
            <w:r>
              <w:t>id, athlete_id, sport_id, pack_version, status, started_at, ended_at</w:t>
            </w:r>
          </w:p>
        </w:tc>
      </w:tr>
      <w:tr>
        <w:tc>
          <w:tcPr>
            <w:tcW w:type="dxa" w:w="4910"/>
          </w:tcPr>
          <w:p>
            <w:r>
              <w:t>session_events</w:t>
            </w:r>
          </w:p>
        </w:tc>
        <w:tc>
          <w:tcPr>
            <w:tcW w:type="dxa" w:w="4910"/>
          </w:tcPr>
          <w:p>
            <w:r>
              <w:t>id, session_id, monotonic_ms, payload_schema, payload; unique(session_id,id)</w:t>
            </w:r>
          </w:p>
        </w:tc>
      </w:tr>
      <w:tr>
        <w:tc>
          <w:tcPr>
            <w:tcW w:type="dxa" w:w="4910"/>
          </w:tcPr>
          <w:p>
            <w:r>
              <w:t>movement_executions</w:t>
            </w:r>
          </w:p>
        </w:tc>
        <w:tc>
          <w:tcPr>
            <w:tcW w:type="dxa" w:w="4910"/>
          </w:tcPr>
          <w:p>
            <w:r>
              <w:t>id, session_id, movement_id, start_ms, end_ms, model_versions</w:t>
            </w:r>
          </w:p>
        </w:tc>
      </w:tr>
      <w:tr>
        <w:tc>
          <w:tcPr>
            <w:tcW w:type="dxa" w:w="4910"/>
          </w:tcPr>
          <w:p>
            <w:r>
              <w:t>criterion_assessments</w:t>
            </w:r>
          </w:p>
        </w:tc>
        <w:tc>
          <w:tcPr>
            <w:tcW w:type="dxa" w:w="4910"/>
          </w:tcPr>
          <w:p>
            <w:r>
              <w:t>execution_id, criterion_id, status, score_nullable, rubric_version, evidence_ref</w:t>
            </w:r>
          </w:p>
        </w:tc>
      </w:tr>
      <w:tr>
        <w:tc>
          <w:tcPr>
            <w:tcW w:type="dxa" w:w="4910"/>
          </w:tcPr>
          <w:p>
            <w:r>
              <w:t>model_releases</w:t>
            </w:r>
          </w:p>
        </w:tc>
        <w:tc>
          <w:tcPr>
            <w:tcW w:type="dxa" w:w="4910"/>
          </w:tcPr>
          <w:p>
            <w:r>
              <w:t>id, sport_id, semver, digest, signature, compatibility, rollout</w:t>
            </w:r>
          </w:p>
        </w:tc>
      </w:tr>
      <w:tr>
        <w:tc>
          <w:tcPr>
            <w:tcW w:type="dxa" w:w="4910"/>
          </w:tcPr>
          <w:p>
            <w:r>
              <w:t>analysis_jobs</w:t>
            </w:r>
          </w:p>
        </w:tc>
        <w:tc>
          <w:tcPr>
            <w:tcW w:type="dxa" w:w="4910"/>
          </w:tcPr>
          <w:p>
            <w:r>
              <w:t>id, asset_ref, consent_scope, status, output_ref, error</w:t>
            </w:r>
          </w:p>
        </w:tc>
      </w:tr>
      <w:tr>
        <w:tc>
          <w:tcPr>
            <w:tcW w:type="dxa" w:w="4910"/>
          </w:tcPr>
          <w:p>
            <w:r>
              <w:t>object_assets</w:t>
            </w:r>
          </w:p>
        </w:tc>
        <w:tc>
          <w:tcPr>
            <w:tcW w:type="dxa" w:w="4910"/>
          </w:tcPr>
          <w:p>
            <w:r>
              <w:t>id, owner_id, storage_key, hash, retention_policy, encryption_metadata</w:t>
            </w:r>
          </w:p>
        </w:tc>
      </w:tr>
    </w:tbl>
    <w:p>
      <w:pPr>
        <w:pStyle w:val="Heading1"/>
      </w:pPr>
      <w:r>
        <w:t>Distribution, offline and rollback</w:t>
      </w:r>
    </w:p>
    <w:p>
      <w:r>
        <w:t>Download manifest via authenticated endpoint with ETag. Verify signed artifact and SHA-256 digest prior to installing versioned cache entry. Activate only between sessions and preserve previous known-good version for rollback.</w:t>
      </w:r>
    </w:p>
    <w:p>
      <w:r>
        <w:t>Local offline event outbox uses bounded quota, data encryption where platform supports it, deterministic retry/backoff and online reconciliation. Never discard unsynced sessions silently.</w:t>
      </w:r>
    </w:p>
    <w:p>
      <w:r>
        <w:t>Canary release by platform/device-class and sport; record crash-free session rate, latency, abstention drift and accuracy regression signals. Automatically stop rollout on error budgets.</w:t>
      </w:r>
    </w:p>
    <w:p>
      <w:pPr>
        <w:pStyle w:val="Heading1"/>
      </w:pPr>
      <w:r>
        <w:t>Deployment and security</w:t>
      </w:r>
    </w:p>
    <w:p>
      <w:r>
        <w:t>TLS everywhere; object-store signed short-lived URLs; encryption at rest; secret manager; least-privilege IAM; scoped tokens; upload size/type validation; malicious file scanning; retention enforcement. Avoid credentials in browser bundles.</w:t>
      </w:r>
    </w:p>
    <w:p>
      <w:r>
        <w:t>Platform support is capability-based. Web WASM/WebGPU availability must be detected, with CPU fallback and supported-device matrix. Native mobile ONNX deployments may use dedicated runtimes while sharing logical contracts.</w:t>
      </w:r>
    </w:p>
    <w:p>
      <w:r>
        <w:t>Define backups and recovery tests for PostgreSQL, artifact registry and queue. Treat cloud-service failure as reduced feature availability, not loss of the on-device loop.</w:t>
      </w:r>
    </w:p>
    <w:p>
      <w:pPr>
        <w:pStyle w:val="Heading1"/>
      </w:pPr>
      <w:r>
        <w:t>Contract and error semantics</w:t>
      </w:r>
    </w:p>
    <w:p>
      <w:r>
        <w:t>All messages MUST include schema_version, session_id, event_id or frame_id, monotonic timestamp, model/rule provenance, and quality flags as appropriate. Never assume wall-clock time is monotonic.</w:t>
      </w:r>
    </w:p>
    <w:p>
      <w:r>
        <w:t>Missing or occluded measurement MUST be represented by a nullable value and a typed reason, not zero and not an invented measurement. Coordinate frames and units are mandatory.</w:t>
      </w:r>
    </w:p>
    <w:p>
      <w:r>
        <w:t>Recoverable failures use structured error codes; a dependent feature becomes NOT_ASSESSABLE without stopping camera capture. Unknown model IDs and incompatible contract versions are rejected closed.</w:t>
      </w:r>
    </w:p>
    <w:p>
      <w:pPr>
        <w:pStyle w:val="Heading1"/>
      </w:pPr>
      <w:r>
        <w:t>Observability and acceptance</w:t>
      </w:r>
    </w:p>
    <w:p>
      <w:r>
        <w:t>Emit per-stage processing duration, queue age, discarded frame count, memory, dropped inference count, timeout and abstention reason. Do not log raw images or identifying media by default.</w:t>
      </w:r>
    </w:p>
    <w:p>
      <w:r>
        <w:t>Unit tests: synthetic geometric fixtures and edge cases. Integration tests: golden pose sequences. Regression tests: representative sport packages. Benchmark sustained 20-minute sessions on reference devices.</w:t>
      </w:r>
    </w:p>
    <w:p>
      <w:r>
        <w:t>Definition of done: schema validated, deterministic tests green, a specific failure fallback implemented, performance characterized on reference hardware, and documentation and telemetry updated.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51" w:right="1210" w:bottom="936" w:left="1210" w:header="648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ApexFormz • Controlled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D69A4"/>
      </w:rPr>
      <w:t>APEXFORMZ  / 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A4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69A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32A4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