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Strategy, Security &amp; SRE Release Gates</w:t>
      </w:r>
    </w:p>
    <w:p>
      <w:r>
        <w:rPr>
          <w:b/>
        </w:rPr>
        <w:t xml:space="preserve">Status  </w:t>
      </w:r>
      <w:r>
        <w:t xml:space="preserve">Implementation specification / proposed design     </w:t>
      </w:r>
      <w:r>
        <w:rPr>
          <w:b/>
        </w:rPr>
        <w:t xml:space="preserve">Version  </w:t>
      </w:r>
      <w:r>
        <w:t>1.0  |  24 October 2026</w:t>
      </w:r>
    </w:p>
    <w:p>
      <w:pPr>
        <w:pStyle w:val="Subtitle"/>
      </w:pPr>
      <w:r>
        <w:t>Quality, safety, performance, change control and rollout acceptance requirements.</w:t>
      </w:r>
    </w:p>
    <w:p>
      <w:r>
        <w:t>Normative terms: MUST = required; SHOULD = preferred; MAY = optional. All numeric thresholds in these documents are provisional engineering targets until validated on target hardware and expert-annotated data.</w:t>
      </w:r>
    </w:p>
    <w:p>
      <w:pPr>
        <w:pStyle w:val="Heading1"/>
      </w:pPr>
      <w:r>
        <w:t>Quality pyramid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10"/>
        <w:gridCol w:w="4910"/>
      </w:tblGrid>
      <w:tr>
        <w:tc>
          <w:tcPr>
            <w:tcW w:type="dxa" w:w="4910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4910"/>
          </w:tcPr>
          <w:p>
            <w:r>
              <w:rPr>
                <w:b/>
              </w:rPr>
              <w:t>Required test</w:t>
            </w:r>
          </w:p>
        </w:tc>
      </w:tr>
      <w:tr>
        <w:tc>
          <w:tcPr>
            <w:tcW w:type="dxa" w:w="4910"/>
          </w:tcPr>
          <w:p>
            <w:r>
              <w:t>Contract</w:t>
            </w:r>
          </w:p>
        </w:tc>
        <w:tc>
          <w:tcPr>
            <w:tcW w:type="dxa" w:w="4910"/>
          </w:tcPr>
          <w:p>
            <w:r>
              <w:t>JSON Schema, TypeScript/Python parity, version compatibility</w:t>
            </w:r>
          </w:p>
        </w:tc>
      </w:tr>
      <w:tr>
        <w:tc>
          <w:tcPr>
            <w:tcW w:type="dxa" w:w="4910"/>
          </w:tcPr>
          <w:p>
            <w:r>
              <w:t>Unit</w:t>
            </w:r>
          </w:p>
        </w:tc>
        <w:tc>
          <w:tcPr>
            <w:tcW w:type="dxa" w:w="4910"/>
          </w:tcPr>
          <w:p>
            <w:r>
              <w:t>angles, filters, interpolation, missingness, stage state machine</w:t>
            </w:r>
          </w:p>
        </w:tc>
      </w:tr>
      <w:tr>
        <w:tc>
          <w:tcPr>
            <w:tcW w:type="dxa" w:w="4910"/>
          </w:tcPr>
          <w:p>
            <w:r>
              <w:t>Component</w:t>
            </w:r>
          </w:p>
        </w:tc>
        <w:tc>
          <w:tcPr>
            <w:tcW w:type="dxa" w:w="4910"/>
          </w:tcPr>
          <w:p>
            <w:r>
              <w:t>pose track loss, sport routing, confidence abstention</w:t>
            </w:r>
          </w:p>
        </w:tc>
      </w:tr>
      <w:tr>
        <w:tc>
          <w:tcPr>
            <w:tcW w:type="dxa" w:w="4910"/>
          </w:tcPr>
          <w:p>
            <w:r>
              <w:t>Integration</w:t>
            </w:r>
          </w:p>
        </w:tc>
        <w:tc>
          <w:tcPr>
            <w:tcW w:type="dxa" w:w="4910"/>
          </w:tcPr>
          <w:p>
            <w:r>
              <w:t>camera-to-coaching with mock/real worker; offline replay</w:t>
            </w:r>
          </w:p>
        </w:tc>
      </w:tr>
      <w:tr>
        <w:tc>
          <w:tcPr>
            <w:tcW w:type="dxa" w:w="4910"/>
          </w:tcPr>
          <w:p>
            <w:r>
              <w:t>ML</w:t>
            </w:r>
          </w:p>
        </w:tc>
        <w:tc>
          <w:tcPr>
            <w:tcW w:type="dxa" w:w="4910"/>
          </w:tcPr>
          <w:p>
            <w:r>
              <w:t>athlete-held-out F1, calibration, phase error, false coaching</w:t>
            </w:r>
          </w:p>
        </w:tc>
      </w:tr>
      <w:tr>
        <w:tc>
          <w:tcPr>
            <w:tcW w:type="dxa" w:w="4910"/>
          </w:tcPr>
          <w:p>
            <w:r>
              <w:t>Performance</w:t>
            </w:r>
          </w:p>
        </w:tc>
        <w:tc>
          <w:tcPr>
            <w:tcW w:type="dxa" w:w="4910"/>
          </w:tcPr>
          <w:p>
            <w:r>
              <w:t>sustained sessions P50/P95, queue age, memory and FPS</w:t>
            </w:r>
          </w:p>
        </w:tc>
      </w:tr>
      <w:tr>
        <w:tc>
          <w:tcPr>
            <w:tcW w:type="dxa" w:w="4910"/>
          </w:tcPr>
          <w:p>
            <w:r>
              <w:t>Adversarial</w:t>
            </w:r>
          </w:p>
        </w:tc>
        <w:tc>
          <w:tcPr>
            <w:tcW w:type="dxa" w:w="4910"/>
          </w:tcPr>
          <w:p>
            <w:r>
              <w:t>occlusion, misidentified person, malicious manifest, network loss</w:t>
            </w:r>
          </w:p>
        </w:tc>
      </w:tr>
      <w:tr>
        <w:tc>
          <w:tcPr>
            <w:tcW w:type="dxa" w:w="4910"/>
          </w:tcPr>
          <w:p>
            <w:r>
              <w:t>End-to-end</w:t>
            </w:r>
          </w:p>
        </w:tc>
        <w:tc>
          <w:tcPr>
            <w:tcW w:type="dxa" w:w="4910"/>
          </w:tcPr>
          <w:p>
            <w:r>
              <w:t>edge session, cloud sync, deep analysis, model update and rollback</w:t>
            </w:r>
          </w:p>
        </w:tc>
      </w:tr>
    </w:tbl>
    <w:p>
      <w:r>
        <w:t>Set explicit device-tier budgets after profiling. Initial aspirational overlay end-to-end P95 &lt;=100ms and simple feedback &lt;=250ms after sufficient evidence; this must not be represented as achieved until measured.</w:t>
      </w:r>
    </w:p>
    <w:p>
      <w:pPr>
        <w:pStyle w:val="Heading1"/>
      </w:pPr>
      <w:r>
        <w:t>Safety and epistemic constraints</w:t>
      </w:r>
    </w:p>
    <w:p>
      <w:r>
        <w:t>No injury/medical prediction without suitable validation and regulatory review. No official officiating claims without validated evidence for required game events. No unsupported anatomical claims from weak-angle 2D landmarks.</w:t>
      </w:r>
    </w:p>
    <w:p>
      <w:r>
        <w:t>Insufficient pose quality, unsupported viewpoint, stale frames, ambiguous target athlete or incompatible model versions MUST produce suppressed coaching and an explainable quality instruction.</w:t>
      </w:r>
    </w:p>
    <w:p>
      <w:r>
        <w:t>A scoring system is not ready for release if its expert labels are inconsistent, even if its classifier accuracy is high.</w:t>
      </w:r>
    </w:p>
    <w:p>
      <w:pPr>
        <w:pStyle w:val="Heading1"/>
      </w:pPr>
      <w:r>
        <w:t>Observability and error budgets</w:t>
      </w:r>
    </w:p>
    <w:p>
      <w:r>
        <w:t>Metrics: time-to-first-pose, pose inference P95/P99, rendered frame rate, backlog, frame drops, thermal drift, model load duration, unknown-movement rate, criteria coverage, abstention reasons, audio cue rate, crash-free sessions and sync retry backlog.</w:t>
      </w:r>
    </w:p>
    <w:p>
      <w:r>
        <w:t>Structured traces have session pseudonym and stage correlation IDs but exclude raw video. Alerts on stuck job queue, deployment signature failure, crash-rate regression and severe latency regression.</w:t>
      </w:r>
    </w:p>
    <w:p>
      <w:r>
        <w:t>Production release includes golden-sequence diff report, model card, feature/rule provenance, migration plan, privacy assessment, canary protocol and rollback runbook.</w:t>
      </w:r>
    </w:p>
    <w:p>
      <w:pPr>
        <w:pStyle w:val="Heading1"/>
      </w:pPr>
      <w:r>
        <w:t>Threat model</w:t>
      </w:r>
    </w:p>
    <w:p>
      <w:r>
        <w:t>Threats: tampered sport packs, replayed event IDs, unauthorized media reads, toxic or incorrect coaching text, cross-athlete data leakage, insecure offline caches, model supply-chain poisoning.</w:t>
      </w:r>
    </w:p>
    <w:p>
      <w:r>
        <w:t>Mitigations: signed manifests, strict schema and ACL, append-only event IDs, private object storage, review-gated feedback catalog, training data provenance, admin audit, and secure deployment pipeline.</w:t>
      </w:r>
    </w:p>
    <w:p>
      <w:pPr>
        <w:pStyle w:val="Heading1"/>
      </w:pPr>
      <w:r>
        <w:t>Contract and error semantics</w:t>
      </w:r>
    </w:p>
    <w:p>
      <w:r>
        <w:t>All messages MUST include schema_version, session_id, event_id or frame_id, monotonic timestamp, model/rule provenance, and quality flags as appropriate. Never assume wall-clock time is monotonic.</w:t>
      </w:r>
    </w:p>
    <w:p>
      <w:r>
        <w:t>Missing or occluded measurement MUST be represented by a nullable value and a typed reason, not zero and not an invented measurement. Coordinate frames and units are mandatory.</w:t>
      </w:r>
    </w:p>
    <w:p>
      <w:r>
        <w:t>Recoverable failures use structured error codes; a dependent feature becomes NOT_ASSESSABLE without stopping camera capture. Unknown model IDs and incompatible contract versions are rejected closed.</w:t>
      </w:r>
    </w:p>
    <w:p>
      <w:pPr>
        <w:pStyle w:val="Heading1"/>
      </w:pPr>
      <w:r>
        <w:t>Observability and acceptance</w:t>
      </w:r>
    </w:p>
    <w:p>
      <w:r>
        <w:t>Emit per-stage processing duration, queue age, discarded frame count, memory, dropped inference count, timeout and abstention reason. Do not log raw images or identifying media by default.</w:t>
      </w:r>
    </w:p>
    <w:p>
      <w:r>
        <w:t>Unit tests: synthetic geometric fixtures and edge cases. Integration tests: golden pose sequences. Regression tests: representative sport packages. Benchmark sustained 20-minute sessions on reference devices.</w:t>
      </w:r>
    </w:p>
    <w:p>
      <w:r>
        <w:t>Definition of done: schema validated, deterministic tests green, a specific failure fallback implemented, performance characterized on reference hardware, and documentation and telemetry updated.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51" w:right="1210" w:bottom="936" w:left="1210" w:header="648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ApexFormz • Controlled technical specification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1D69A4"/>
      </w:rPr>
      <w:t>APEXFORMZ  /  ENGINEERING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32A47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D69A4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32A4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