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700"/>
      </w:pPr>
    </w:p>
    <w:p>
      <w:pPr>
        <w:bidi/>
        <w:spacing w:after="120"/>
        <w:jc w:val="center"/>
      </w:pPr>
      <w:r>
        <w:rPr>
          <w:rFonts w:ascii="Arial" w:cs="Arial" w:eastAsia="Arial" w:hAnsi="Arial"/>
          <w:b/>
          <w:bCs/>
          <w:color w:val="2563EB"/>
          <w:sz w:val="58"/>
          <w:szCs w:val="58"/>
        </w:rPr>
        <w:t xml:space="preserve">Qhub</w:t>
      </w:r>
    </w:p>
    <w:p>
      <w:pPr>
        <w:bidi/>
        <w:spacing w:after="180"/>
        <w:jc w:val="center"/>
      </w:pPr>
      <w:r>
        <w:rPr>
          <w:rFonts w:ascii="Arial" w:cs="Arial" w:eastAsia="Arial" w:hAnsi="Arial"/>
          <w:b/>
          <w:bCs/>
          <w:color w:val="1E293B"/>
          <w:sz w:val="44"/>
          <w:szCs w:val="44"/>
          <w:rtl/>
        </w:rPr>
        <w:t xml:space="preserve">سجل التعديلات</w:t>
      </w:r>
    </w:p>
    <w:p>
      <w:pPr>
        <w:bidi/>
        <w:spacing w:after="600"/>
        <w:jc w:val="center"/>
      </w:pPr>
      <w:r>
        <w:rPr>
          <w:rFonts w:ascii="Arial" w:cs="Arial" w:eastAsia="Arial" w:hAnsi="Arial"/>
          <w:color w:val="64748B"/>
          <w:sz w:val="26"/>
          <w:szCs w:val="26"/>
          <w:rtl/>
        </w:rPr>
        <w:t xml:space="preserve">بورتال الكلاينت</w:t>
      </w:r>
    </w:p>
    <w:p>
      <w:pPr>
        <w:bidi/>
        <w:spacing w:after="60"/>
        <w:jc w:val="center"/>
      </w:pPr>
      <w:r>
        <w:rPr>
          <w:rFonts w:ascii="Arial" w:cs="Arial" w:eastAsia="Arial" w:hAnsi="Arial"/>
          <w:color w:val="64748B"/>
          <w:sz w:val="21"/>
          <w:szCs w:val="21"/>
          <w:rtl/>
        </w:rPr>
        <w:t xml:space="preserve">وثيقة حيّة — تُحدَّث مع كل تعديل جديد</w:t>
      </w:r>
    </w:p>
    <w:p>
      <w:pPr>
        <w:bidi/>
        <w:spacing w:after="60"/>
        <w:jc w:val="center"/>
      </w:pPr>
      <w:r>
        <w:rPr>
          <w:rFonts w:ascii="Arial" w:cs="Arial" w:eastAsia="Arial" w:hAnsi="Arial"/>
          <w:color w:val="64748B"/>
          <w:sz w:val="21"/>
          <w:szCs w:val="21"/>
          <w:rtl/>
        </w:rPr>
        <w:t xml:space="preserve">آخر تحديث: 10 سبتمبر 2026</w:t>
      </w:r>
    </w:p>
    <w:p>
      <w:r>
        <w:br w:type="page"/>
      </w:r>
    </w:p>
    <w:p>
      <w:pPr>
        <w:pStyle w:val="Heading1"/>
        <w:pBdr>
          <w:bottom w:val="single" w:color="2563EB" w:sz="12" w:space="6"/>
        </w:pBdr>
        <w:bidi/>
        <w:spacing w:after="160" w:before="360"/>
        <w:jc w:val="right"/>
      </w:pPr>
      <w:r>
        <w:rPr>
          <w:rFonts w:ascii="Arial" w:cs="Arial" w:eastAsia="Arial" w:hAnsi="Arial"/>
          <w:b/>
          <w:bCs/>
          <w:color w:val="2563EB"/>
          <w:sz w:val="30"/>
          <w:szCs w:val="30"/>
          <w:rtl/>
        </w:rPr>
        <w:t xml:space="preserve">ملخص التعديلات</w:t>
      </w:r>
    </w:p>
    <w:p>
      <w:pPr>
        <w:bidi/>
        <w:spacing w:after="100" w:before="0" w:line="300"/>
        <w:jc w:val="right"/>
      </w:pPr>
      <w:r>
        <w:rPr>
          <w:rFonts w:ascii="Arial" w:cs="Arial" w:eastAsia="Arial" w:hAnsi="Arial"/>
          <w:b w:val="false"/>
          <w:bCs w:val="false"/>
          <w:color w:val="1E293B"/>
          <w:sz w:val="21"/>
          <w:szCs w:val="21"/>
          <w:rtl/>
        </w:rPr>
        <w:t xml:space="preserve">كل تعديل على بورتال الكلاينت، الأحدث أولاً. التفاصيل الكاملة في القسم التالي.</w:t>
      </w:r>
    </w:p>
    <w:p>
      <w:pPr>
        <w:spacing w:after="80"/>
      </w:pPr>
    </w:p>
    <w:tbl>
      <w:tblPr>
        <w:bidiVisual/>
        <w:tblW w:type="dxa" w:w="90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00"/>
        <w:gridCol w:w="1500"/>
        <w:gridCol w:w="3600"/>
        <w:gridCol w:w="1500"/>
        <w:gridCol w:w="1800"/>
      </w:tblGrid>
      <w:tr>
        <w:trPr>
          <w:tblHeader/>
        </w:trPr>
        <w:tc>
          <w:tcPr>
            <w:tcW w:type="dxa" w:w="600"/>
            <w:shd w:fill="2563EB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bidi/>
              <w:spacing w:after="0" w:line="28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#</w:t>
            </w:r>
          </w:p>
        </w:tc>
        <w:tc>
          <w:tcPr>
            <w:tcW w:type="dxa" w:w="1500"/>
            <w:shd w:fill="2563EB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bidi/>
              <w:spacing w:after="0" w:line="28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التاريخ</w:t>
            </w:r>
          </w:p>
        </w:tc>
        <w:tc>
          <w:tcPr>
            <w:tcW w:type="dxa" w:w="3600"/>
            <w:shd w:fill="2563EB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bidi/>
              <w:spacing w:after="0" w:line="28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التعديل</w:t>
            </w:r>
          </w:p>
        </w:tc>
        <w:tc>
          <w:tcPr>
            <w:tcW w:type="dxa" w:w="1500"/>
            <w:shd w:fill="2563EB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bidi/>
              <w:spacing w:after="0" w:line="28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الصفحة</w:t>
            </w:r>
          </w:p>
        </w:tc>
        <w:tc>
          <w:tcPr>
            <w:tcW w:type="dxa" w:w="1800"/>
            <w:shd w:fill="2563EB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bidi/>
              <w:spacing w:after="0" w:line="28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الحالة</w:t>
            </w:r>
          </w:p>
        </w:tc>
      </w:tr>
      <w:tr>
        <w:tc>
          <w:tcPr>
            <w:tcW w:type="dxa" w:w="6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bidi/>
              <w:spacing w:after="0" w:line="280"/>
              <w:jc w:val="right"/>
            </w:pPr>
            <w:r>
              <w:rPr>
                <w:rFonts w:ascii="Arial" w:cs="Arial" w:eastAsia="Arial" w:hAnsi="Arial"/>
                <w:b/>
                <w:bCs/>
                <w:color w:val="2563EB"/>
                <w:sz w:val="19"/>
                <w:szCs w:val="19"/>
                <w:rtl/>
              </w:rPr>
              <w:t xml:space="preserve">3</w:t>
            </w:r>
          </w:p>
        </w:tc>
        <w:tc>
          <w:tcPr>
            <w:tcW w:type="dxa" w:w="15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bidi/>
              <w:spacing w:after="0" w:line="28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  <w:rtl/>
              </w:rPr>
              <w:t xml:space="preserve">10 سبتمبر 2026</w:t>
            </w:r>
          </w:p>
        </w:tc>
        <w:tc>
          <w:tcPr>
            <w:tcW w:type="dxa" w:w="36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bidi/>
              <w:spacing w:after="0" w:line="28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  <w:rtl/>
              </w:rPr>
              <w:t xml:space="preserve">إزالة كارت نسبة الاستجابة من صفحة تقييمات العملاء</w:t>
            </w:r>
          </w:p>
        </w:tc>
        <w:tc>
          <w:tcPr>
            <w:tcW w:type="dxa" w:w="15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bidi/>
              <w:spacing w:after="0" w:line="28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  <w:rtl/>
              </w:rPr>
              <w:t xml:space="preserve">تقييمات العملاء</w:t>
            </w:r>
          </w:p>
        </w:tc>
        <w:tc>
          <w:tcPr>
            <w:tcW w:type="dxa" w:w="1800"/>
            <w:shd w:fill="FFFBEB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bidi/>
              <w:spacing w:after="0" w:line="280"/>
              <w:jc w:val="right"/>
            </w:pPr>
            <w:r>
              <w:rPr>
                <w:rFonts w:ascii="Arial" w:cs="Arial" w:eastAsia="Arial" w:hAnsi="Arial"/>
                <w:b/>
                <w:bCs/>
                <w:color w:val="B45309"/>
                <w:sz w:val="19"/>
                <w:szCs w:val="19"/>
                <w:rtl/>
              </w:rPr>
              <w:t xml:space="preserve">مرفوع — غير منشور</w:t>
            </w:r>
          </w:p>
        </w:tc>
      </w:tr>
      <w:tr>
        <w:tc>
          <w:tcPr>
            <w:tcW w:type="dxa" w:w="600"/>
            <w:shd w:fill="F1F5F9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bidi/>
              <w:spacing w:after="0" w:line="280"/>
              <w:jc w:val="right"/>
            </w:pPr>
            <w:r>
              <w:rPr>
                <w:rFonts w:ascii="Arial" w:cs="Arial" w:eastAsia="Arial" w:hAnsi="Arial"/>
                <w:b/>
                <w:bCs/>
                <w:color w:val="2563EB"/>
                <w:sz w:val="19"/>
                <w:szCs w:val="19"/>
                <w:rtl/>
              </w:rPr>
              <w:t xml:space="preserve">2</w:t>
            </w:r>
          </w:p>
        </w:tc>
        <w:tc>
          <w:tcPr>
            <w:tcW w:type="dxa" w:w="1500"/>
            <w:shd w:fill="F1F5F9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bidi/>
              <w:spacing w:after="0" w:line="28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  <w:rtl/>
              </w:rPr>
              <w:t xml:space="preserve">9 سبتمبر 2026</w:t>
            </w:r>
          </w:p>
        </w:tc>
        <w:tc>
          <w:tcPr>
            <w:tcW w:type="dxa" w:w="3600"/>
            <w:shd w:fill="F1F5F9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bidi/>
              <w:spacing w:after="0" w:line="28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  <w:rtl/>
              </w:rPr>
              <w:t xml:space="preserve">تغيير تسمية زر الترقية في صفحة الفوترة</w:t>
            </w:r>
          </w:p>
        </w:tc>
        <w:tc>
          <w:tcPr>
            <w:tcW w:type="dxa" w:w="1500"/>
            <w:shd w:fill="F1F5F9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bidi/>
              <w:spacing w:after="0" w:line="28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  <w:rtl/>
              </w:rPr>
              <w:t xml:space="preserve">الفوترة</w:t>
            </w:r>
          </w:p>
        </w:tc>
        <w:tc>
          <w:tcPr>
            <w:tcW w:type="dxa" w:w="1800"/>
            <w:shd w:fill="ECFDF5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bidi/>
              <w:spacing w:after="0" w:line="280"/>
              <w:jc w:val="right"/>
            </w:pPr>
            <w:r>
              <w:rPr>
                <w:rFonts w:ascii="Arial" w:cs="Arial" w:eastAsia="Arial" w:hAnsi="Arial"/>
                <w:b/>
                <w:bCs/>
                <w:color w:val="15803D"/>
                <w:sz w:val="19"/>
                <w:szCs w:val="19"/>
                <w:rtl/>
              </w:rPr>
              <w:t xml:space="preserve">منشور على الإنتاج</w:t>
            </w:r>
          </w:p>
        </w:tc>
      </w:tr>
      <w:tr>
        <w:tc>
          <w:tcPr>
            <w:tcW w:type="dxa" w:w="6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bidi/>
              <w:spacing w:after="0" w:line="280"/>
              <w:jc w:val="right"/>
            </w:pPr>
            <w:r>
              <w:rPr>
                <w:rFonts w:ascii="Arial" w:cs="Arial" w:eastAsia="Arial" w:hAnsi="Arial"/>
                <w:b/>
                <w:bCs/>
                <w:color w:val="2563EB"/>
                <w:sz w:val="19"/>
                <w:szCs w:val="19"/>
                <w:rtl/>
              </w:rPr>
              <w:t xml:space="preserve">1</w:t>
            </w:r>
          </w:p>
        </w:tc>
        <w:tc>
          <w:tcPr>
            <w:tcW w:type="dxa" w:w="15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bidi/>
              <w:spacing w:after="0" w:line="28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  <w:rtl/>
              </w:rPr>
              <w:t xml:space="preserve">9 سبتمبر 2026</w:t>
            </w:r>
          </w:p>
        </w:tc>
        <w:tc>
          <w:tcPr>
            <w:tcW w:type="dxa" w:w="36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bidi/>
              <w:spacing w:after="0" w:line="28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  <w:rtl/>
              </w:rPr>
              <w:t xml:space="preserve">ميزة تغيير الباقة — US-131</w:t>
            </w:r>
          </w:p>
        </w:tc>
        <w:tc>
          <w:tcPr>
            <w:tcW w:type="dxa" w:w="15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bidi/>
              <w:spacing w:after="0" w:line="28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  <w:rtl/>
              </w:rPr>
              <w:t xml:space="preserve">الاشتراك</w:t>
            </w:r>
          </w:p>
        </w:tc>
        <w:tc>
          <w:tcPr>
            <w:tcW w:type="dxa" w:w="1800"/>
            <w:shd w:fill="ECFDF5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bidi/>
              <w:spacing w:after="0" w:line="280"/>
              <w:jc w:val="right"/>
            </w:pPr>
            <w:r>
              <w:rPr>
                <w:rFonts w:ascii="Arial" w:cs="Arial" w:eastAsia="Arial" w:hAnsi="Arial"/>
                <w:b/>
                <w:bCs/>
                <w:color w:val="15803D"/>
                <w:sz w:val="19"/>
                <w:szCs w:val="19"/>
                <w:rtl/>
              </w:rPr>
              <w:t xml:space="preserve">منشور على الإنتاج</w:t>
            </w:r>
          </w:p>
        </w:tc>
      </w:tr>
    </w:tbl>
    <w:p>
      <w:pPr>
        <w:pStyle w:val="Heading2"/>
        <w:bidi/>
        <w:spacing w:after="120" w:before="300"/>
        <w:jc w:val="right"/>
      </w:pPr>
      <w:r>
        <w:rPr>
          <w:rFonts w:ascii="Arial" w:cs="Arial" w:eastAsia="Arial" w:hAnsi="Arial"/>
          <w:b/>
          <w:bCs/>
          <w:color w:val="1E293B"/>
          <w:sz w:val="24"/>
          <w:szCs w:val="24"/>
          <w:rtl/>
        </w:rPr>
        <w:t xml:space="preserve">دلالة الحالات</w:t>
      </w:r>
    </w:p>
    <w:p>
      <w:pPr>
        <w:spacing w:after="60"/>
      </w:pPr>
    </w:p>
    <w:tbl>
      <w:tblPr>
        <w:bidiVisual/>
        <w:tblW w:type="dxa" w:w="90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400"/>
        <w:gridCol w:w="6600"/>
      </w:tblGrid>
      <w:tr>
        <w:trPr>
          <w:tblHeader/>
        </w:trPr>
        <w:tc>
          <w:tcPr>
            <w:tcW w:type="dxa" w:w="2400"/>
            <w:shd w:fill="2563EB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bidi/>
              <w:spacing w:after="0" w:line="28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الحالة</w:t>
            </w:r>
          </w:p>
        </w:tc>
        <w:tc>
          <w:tcPr>
            <w:tcW w:type="dxa" w:w="6600"/>
            <w:shd w:fill="2563EB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bidi/>
              <w:spacing w:after="0" w:line="28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المعنى</w:t>
            </w:r>
          </w:p>
        </w:tc>
      </w:tr>
      <w:tr>
        <w:tc>
          <w:tcPr>
            <w:tcW w:type="dxa" w:w="2400"/>
            <w:shd w:fill="ECFDF5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bidi/>
              <w:spacing w:after="0" w:line="280"/>
              <w:jc w:val="right"/>
            </w:pPr>
            <w:r>
              <w:rPr>
                <w:rFonts w:ascii="Arial" w:cs="Arial" w:eastAsia="Arial" w:hAnsi="Arial"/>
                <w:b/>
                <w:bCs/>
                <w:color w:val="15803D"/>
                <w:sz w:val="19"/>
                <w:szCs w:val="19"/>
                <w:rtl/>
              </w:rPr>
              <w:t xml:space="preserve">منشور على الإنتاج</w:t>
            </w:r>
          </w:p>
        </w:tc>
        <w:tc>
          <w:tcPr>
            <w:tcW w:type="dxa" w:w="66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bidi/>
              <w:spacing w:after="0" w:line="28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  <w:rtl/>
              </w:rPr>
              <w:t xml:space="preserve">التعديل مرفوع على الفرع ومنشور على qhub-client.apexes.click — العملاء يرونه الآن.</w:t>
            </w:r>
          </w:p>
        </w:tc>
      </w:tr>
      <w:tr>
        <w:tc>
          <w:tcPr>
            <w:tcW w:type="dxa" w:w="2400"/>
            <w:shd w:fill="FFFBEB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bidi/>
              <w:spacing w:after="0" w:line="280"/>
              <w:jc w:val="right"/>
            </w:pPr>
            <w:r>
              <w:rPr>
                <w:rFonts w:ascii="Arial" w:cs="Arial" w:eastAsia="Arial" w:hAnsi="Arial"/>
                <w:b/>
                <w:bCs/>
                <w:color w:val="B45309"/>
                <w:sz w:val="19"/>
                <w:szCs w:val="19"/>
                <w:rtl/>
              </w:rPr>
              <w:t xml:space="preserve">مرفوع — غير منشور</w:t>
            </w:r>
          </w:p>
        </w:tc>
        <w:tc>
          <w:tcPr>
            <w:tcW w:type="dxa" w:w="6600"/>
            <w:shd w:fill="F1F5F9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bidi/>
              <w:spacing w:after="0" w:line="28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  <w:rtl/>
              </w:rPr>
              <w:t xml:space="preserve">التعديل مرفوع على فرع Git لكنه لم يُنشر على السيرفر بعد — العملاء لا يرونه.</w:t>
            </w:r>
          </w:p>
        </w:tc>
      </w:tr>
      <w:tr>
        <w:tc>
          <w:tcPr>
            <w:tcW w:type="dxa" w:w="2400"/>
            <w:shd w:fill="F1F5F9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bidi/>
              <w:spacing w:after="0" w:line="280"/>
              <w:jc w:val="right"/>
            </w:pPr>
            <w:r>
              <w:rPr>
                <w:rFonts w:ascii="Arial" w:cs="Arial" w:eastAsia="Arial" w:hAnsi="Arial"/>
                <w:b/>
                <w:bCs/>
                <w:color w:val="64748B"/>
                <w:sz w:val="19"/>
                <w:szCs w:val="19"/>
                <w:rtl/>
              </w:rPr>
              <w:t xml:space="preserve">قيد التطوير</w:t>
            </w:r>
          </w:p>
        </w:tc>
        <w:tc>
          <w:tcPr>
            <w:tcW w:type="dxa" w:w="66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bidi/>
              <w:spacing w:after="0" w:line="28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  <w:rtl/>
              </w:rPr>
              <w:t xml:space="preserve">التعديل في مجلد العمل ولم يُرفع على Git بعد.</w:t>
            </w:r>
          </w:p>
        </w:tc>
      </w:tr>
    </w:tbl>
    <w:p>
      <w:pPr>
        <w:spacing w:after="200"/>
      </w:pPr>
    </w:p>
    <w:tbl>
      <w:tblPr>
        <w:bidiVisual/>
        <w:tblW w:type="dxa" w:w="9000"/>
        <w:tblBorders>
          <w:top w:val="single" w:color="B45309" w:sz="4"/>
          <w:left w:val="single" w:color="B45309" w:sz="4"/>
          <w:bottom w:val="single" w:color="B45309" w:sz="4"/>
          <w:right w:val="single" w:color="B45309" w:sz="18"/>
          <w:insideH w:val="none"/>
          <w:insideV w:val="none"/>
        </w:tblBorders>
      </w:tblPr>
      <w:tblGrid>
        <w:gridCol w:w="9000"/>
      </w:tblGrid>
      <w:tr>
        <w:tc>
          <w:tcPr>
            <w:tcW w:type="dxa" w:w="9000"/>
            <w:shd w:fill="FFFBEB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bidi/>
              <w:spacing w:after="90"/>
              <w:jc w:val="right"/>
            </w:pPr>
            <w:r>
              <w:rPr>
                <w:rFonts w:ascii="Arial" w:cs="Arial" w:eastAsia="Arial" w:hAnsi="Arial"/>
                <w:b/>
                <w:bCs/>
                <w:color w:val="B45309"/>
                <w:sz w:val="21"/>
                <w:szCs w:val="21"/>
                <w:rtl/>
              </w:rPr>
              <w:t xml:space="preserve">حالة النشر الآن</w:t>
            </w:r>
          </w:p>
          <w:p>
            <w:pPr>
              <w:bidi/>
              <w:spacing w:after="60" w:line="290"/>
              <w:jc w:val="right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  <w:rtl/>
              </w:rPr>
              <w:t xml:space="preserve">البناء المنشور على الإنتاج: 2b5d5cb7-ae3d-4d19-88e3-dc3bc0218602</w:t>
            </w:r>
          </w:p>
          <w:p>
            <w:pPr>
              <w:bidi/>
              <w:spacing w:after="60" w:line="290"/>
              <w:jc w:val="right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  <w:rtl/>
              </w:rPr>
              <w:t xml:space="preserve">يوجد 1 تعديل مرفوع على الفرع ولم يُنشر بعد — مبيّن في الجدول أعلاه.</w:t>
            </w:r>
          </w:p>
          <w:p>
            <w:pPr>
              <w:bidi/>
              <w:spacing w:after="60" w:line="290"/>
              <w:jc w:val="right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  <w:rtl/>
              </w:rPr>
              <w:t xml:space="preserve">قاعدة العمل المتفق عليها: الرفع على فرع Git يتم مباشرة، أما النشر على السيرفر فلا يتم إلا بطلب صريح.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563EB" w:sz="12" w:space="6"/>
        </w:pBdr>
        <w:bidi/>
        <w:spacing w:after="160" w:before="360"/>
        <w:jc w:val="right"/>
      </w:pPr>
      <w:r>
        <w:rPr>
          <w:rFonts w:ascii="Arial" w:cs="Arial" w:eastAsia="Arial" w:hAnsi="Arial"/>
          <w:b/>
          <w:bCs/>
          <w:color w:val="2563EB"/>
          <w:sz w:val="30"/>
          <w:szCs w:val="30"/>
          <w:rtl/>
        </w:rPr>
        <w:t xml:space="preserve">تفاصيل التعديلات</w:t>
      </w:r>
    </w:p>
    <w:p>
      <w:pPr>
        <w:pStyle w:val="Heading2"/>
        <w:bidi/>
        <w:spacing w:after="120" w:before="300"/>
        <w:jc w:val="right"/>
      </w:pPr>
      <w:r>
        <w:rPr>
          <w:rFonts w:ascii="Arial" w:cs="Arial" w:eastAsia="Arial" w:hAnsi="Arial"/>
          <w:b/>
          <w:bCs/>
          <w:color w:val="1E293B"/>
          <w:sz w:val="24"/>
          <w:szCs w:val="24"/>
          <w:rtl/>
        </w:rPr>
        <w:t xml:space="preserve">تعديل رقم 3 — إزالة كارت نسبة الاستجابة من صفحة تقييمات العملاء</w:t>
      </w:r>
    </w:p>
    <w:p>
      <w:pPr>
        <w:spacing w:after="50"/>
      </w:pPr>
    </w:p>
    <w:tbl>
      <w:tblPr>
        <w:bidiVisual/>
        <w:tblW w:type="dxa" w:w="90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250"/>
        <w:gridCol w:w="1250"/>
        <w:gridCol w:w="1150"/>
        <w:gridCol w:w="2500"/>
        <w:gridCol w:w="1350"/>
        <w:gridCol w:w="1500"/>
      </w:tblGrid>
      <w:tr>
        <w:trPr>
          <w:tblHeader/>
        </w:trPr>
        <w:tc>
          <w:tcPr>
            <w:tcW w:type="dxa" w:w="1250"/>
            <w:shd w:fill="2563EB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bidi/>
              <w:spacing w:after="0" w:line="28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التاريخ</w:t>
            </w:r>
          </w:p>
        </w:tc>
        <w:tc>
          <w:tcPr>
            <w:tcW w:type="dxa" w:w="1250"/>
            <w:shd w:fill="2563EB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bidi/>
              <w:spacing w:after="0" w:line="28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الصفحة</w:t>
            </w:r>
          </w:p>
        </w:tc>
        <w:tc>
          <w:tcPr>
            <w:tcW w:type="dxa" w:w="1150"/>
            <w:shd w:fill="2563EB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bidi/>
              <w:spacing w:after="0" w:line="28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المسار</w:t>
            </w:r>
          </w:p>
        </w:tc>
        <w:tc>
          <w:tcPr>
            <w:tcW w:type="dxa" w:w="2500"/>
            <w:shd w:fill="2563EB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bidi/>
              <w:spacing w:after="0" w:line="28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الملف</w:t>
            </w:r>
          </w:p>
        </w:tc>
        <w:tc>
          <w:tcPr>
            <w:tcW w:type="dxa" w:w="1350"/>
            <w:shd w:fill="2563EB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bidi/>
              <w:spacing w:after="0" w:line="28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الكوميت</w:t>
            </w:r>
          </w:p>
        </w:tc>
        <w:tc>
          <w:tcPr>
            <w:tcW w:type="dxa" w:w="1500"/>
            <w:shd w:fill="2563EB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bidi/>
              <w:spacing w:after="0" w:line="28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الحالة</w:t>
            </w:r>
          </w:p>
        </w:tc>
      </w:tr>
      <w:tr>
        <w:tc>
          <w:tcPr>
            <w:tcW w:type="dxa" w:w="125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bidi/>
              <w:spacing w:after="0" w:line="28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  <w:rtl/>
              </w:rPr>
              <w:t xml:space="preserve">10 سبتمبر 2026</w:t>
            </w:r>
          </w:p>
        </w:tc>
        <w:tc>
          <w:tcPr>
            <w:tcW w:type="dxa" w:w="125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bidi/>
              <w:spacing w:after="0" w:line="28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  <w:rtl/>
              </w:rPr>
              <w:t xml:space="preserve">تقييمات العملاء</w:t>
            </w:r>
          </w:p>
        </w:tc>
        <w:tc>
          <w:tcPr>
            <w:tcW w:type="dxa" w:w="115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bidi/>
              <w:spacing w:after="0" w:line="28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  <w:rtl/>
              </w:rPr>
              <w:t xml:space="preserve">/rating</w:t>
            </w:r>
          </w:p>
        </w:tc>
        <w:tc>
          <w:tcPr>
            <w:tcW w:type="dxa" w:w="25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bidi/>
              <w:spacing w:after="0" w:line="28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  <w:rtl/>
              </w:rPr>
              <w:t xml:space="preserve">src/pages/CustomerRatings.tsx</w:t>
            </w:r>
          </w:p>
        </w:tc>
        <w:tc>
          <w:tcPr>
            <w:tcW w:type="dxa" w:w="135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bidi/>
              <w:spacing w:after="0" w:line="28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  <w:rtl/>
              </w:rPr>
              <w:t xml:space="preserve">cc8bd4f</w:t>
            </w:r>
          </w:p>
        </w:tc>
        <w:tc>
          <w:tcPr>
            <w:tcW w:type="dxa" w:w="1500"/>
            <w:shd w:fill="FFFBEB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bidi/>
              <w:spacing w:after="0" w:line="280"/>
              <w:jc w:val="right"/>
            </w:pPr>
            <w:r>
              <w:rPr>
                <w:rFonts w:ascii="Arial" w:cs="Arial" w:eastAsia="Arial" w:hAnsi="Arial"/>
                <w:b/>
                <w:bCs/>
                <w:color w:val="B45309"/>
                <w:sz w:val="19"/>
                <w:szCs w:val="19"/>
                <w:rtl/>
              </w:rPr>
              <w:t xml:space="preserve">مرفوع — غير منشور</w:t>
            </w:r>
          </w:p>
        </w:tc>
      </w:tr>
    </w:tbl>
    <w:p>
      <w:pPr>
        <w:spacing w:after="90"/>
      </w:pPr>
    </w:p>
    <w:p>
      <w:pPr>
        <w:pStyle w:val="ListParagraph"/>
        <w:numPr>
          <w:ilvl w:val="0"/>
          <w:numId w:val="2"/>
        </w:numPr>
        <w:bidi/>
        <w:spacing w:after="70" w:line="290"/>
        <w:jc w:val="right"/>
      </w:pPr>
      <w:r>
        <w:rPr>
          <w:rFonts w:ascii="Arial" w:cs="Arial" w:eastAsia="Arial" w:hAnsi="Arial"/>
          <w:color w:val="1E293B"/>
          <w:sz w:val="21"/>
          <w:szCs w:val="21"/>
          <w:rtl/>
        </w:rPr>
        <w:t xml:space="preserve">حُذف كارت «نسبة الاستجابة» بالكامل من شريط الإحصائيات — صارت 3 كروت بدل 4.</w:t>
      </w:r>
    </w:p>
    <w:p>
      <w:pPr>
        <w:pStyle w:val="ListParagraph"/>
        <w:numPr>
          <w:ilvl w:val="0"/>
          <w:numId w:val="2"/>
        </w:numPr>
        <w:bidi/>
        <w:spacing w:after="70" w:line="290"/>
        <w:jc w:val="right"/>
      </w:pPr>
      <w:r>
        <w:rPr>
          <w:rFonts w:ascii="Arial" w:cs="Arial" w:eastAsia="Arial" w:hAnsi="Arial"/>
          <w:color w:val="1E293B"/>
          <w:sz w:val="21"/>
          <w:szCs w:val="21"/>
          <w:rtl/>
        </w:rPr>
        <w:t xml:space="preserve">حُذف معه حساب responseRate لأنه لم يعد له مستهلك في الصفحة.</w:t>
      </w:r>
    </w:p>
    <w:p>
      <w:pPr>
        <w:pStyle w:val="ListParagraph"/>
        <w:numPr>
          <w:ilvl w:val="0"/>
          <w:numId w:val="2"/>
        </w:numPr>
        <w:bidi/>
        <w:spacing w:after="70" w:line="290"/>
        <w:jc w:val="right"/>
      </w:pPr>
      <w:r>
        <w:rPr>
          <w:rFonts w:ascii="Arial" w:cs="Arial" w:eastAsia="Arial" w:hAnsi="Arial"/>
          <w:color w:val="1E293B"/>
          <w:sz w:val="21"/>
          <w:szCs w:val="21"/>
          <w:rtl/>
        </w:rPr>
        <w:t xml:space="preserve">حُذف استيراد أيقونة TrendingUp لأنها كانت مستخدمة في هذا الكارت وحده.</w:t>
      </w:r>
    </w:p>
    <w:p>
      <w:pPr>
        <w:pStyle w:val="ListParagraph"/>
        <w:numPr>
          <w:ilvl w:val="0"/>
          <w:numId w:val="2"/>
        </w:numPr>
        <w:bidi/>
        <w:spacing w:after="70" w:line="290"/>
        <w:jc w:val="right"/>
      </w:pPr>
      <w:r>
        <w:rPr>
          <w:rFonts w:ascii="Arial" w:cs="Arial" w:eastAsia="Arial" w:hAnsi="Arial"/>
          <w:color w:val="1E293B"/>
          <w:sz w:val="21"/>
          <w:szCs w:val="21"/>
          <w:rtl/>
        </w:rPr>
        <w:t xml:space="preserve">عُدّلت شبكة العرض من grid-cols-2 lg:grid-cols-4 إلى grid-cols-1 sm:grid-cols-3، حتى لا يبقى كارت يتيم في سطر منفصل على الشاشات الصغيرة.</w:t>
      </w:r>
    </w:p>
    <w:p>
      <w:pPr>
        <w:pStyle w:val="ListParagraph"/>
        <w:numPr>
          <w:ilvl w:val="0"/>
          <w:numId w:val="2"/>
        </w:numPr>
        <w:bidi/>
        <w:spacing w:after="70" w:line="290"/>
        <w:jc w:val="right"/>
      </w:pPr>
      <w:r>
        <w:rPr>
          <w:rFonts w:ascii="Arial" w:cs="Arial" w:eastAsia="Arial" w:hAnsi="Arial"/>
          <w:color w:val="1E293B"/>
          <w:sz w:val="21"/>
          <w:szCs w:val="21"/>
          <w:rtl/>
        </w:rPr>
        <w:t xml:space="preserve">الكروت الباقية: متوسط تقييم المحادثة، متوسط تقييم الموظفين، إجمالي الروابط.</w:t>
      </w:r>
    </w:p>
    <w:p>
      <w:pPr>
        <w:spacing w:after="160"/>
      </w:pPr>
    </w:p>
    <w:p>
      <w:pPr>
        <w:pStyle w:val="Heading2"/>
        <w:bidi/>
        <w:spacing w:after="120" w:before="300"/>
        <w:jc w:val="right"/>
      </w:pPr>
      <w:r>
        <w:rPr>
          <w:rFonts w:ascii="Arial" w:cs="Arial" w:eastAsia="Arial" w:hAnsi="Arial"/>
          <w:b/>
          <w:bCs/>
          <w:color w:val="1E293B"/>
          <w:sz w:val="24"/>
          <w:szCs w:val="24"/>
          <w:rtl/>
        </w:rPr>
        <w:t xml:space="preserve">تعديل رقم 2 — تغيير تسمية زر الترقية في صفحة الفوترة</w:t>
      </w:r>
    </w:p>
    <w:p>
      <w:pPr>
        <w:spacing w:after="50"/>
      </w:pPr>
    </w:p>
    <w:tbl>
      <w:tblPr>
        <w:bidiVisual/>
        <w:tblW w:type="dxa" w:w="90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250"/>
        <w:gridCol w:w="1250"/>
        <w:gridCol w:w="1150"/>
        <w:gridCol w:w="2500"/>
        <w:gridCol w:w="1350"/>
        <w:gridCol w:w="1500"/>
      </w:tblGrid>
      <w:tr>
        <w:trPr>
          <w:tblHeader/>
        </w:trPr>
        <w:tc>
          <w:tcPr>
            <w:tcW w:type="dxa" w:w="1250"/>
            <w:shd w:fill="2563EB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bidi/>
              <w:spacing w:after="0" w:line="28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التاريخ</w:t>
            </w:r>
          </w:p>
        </w:tc>
        <w:tc>
          <w:tcPr>
            <w:tcW w:type="dxa" w:w="1250"/>
            <w:shd w:fill="2563EB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bidi/>
              <w:spacing w:after="0" w:line="28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الصفحة</w:t>
            </w:r>
          </w:p>
        </w:tc>
        <w:tc>
          <w:tcPr>
            <w:tcW w:type="dxa" w:w="1150"/>
            <w:shd w:fill="2563EB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bidi/>
              <w:spacing w:after="0" w:line="28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المسار</w:t>
            </w:r>
          </w:p>
        </w:tc>
        <w:tc>
          <w:tcPr>
            <w:tcW w:type="dxa" w:w="2500"/>
            <w:shd w:fill="2563EB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bidi/>
              <w:spacing w:after="0" w:line="28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الملف</w:t>
            </w:r>
          </w:p>
        </w:tc>
        <w:tc>
          <w:tcPr>
            <w:tcW w:type="dxa" w:w="1350"/>
            <w:shd w:fill="2563EB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bidi/>
              <w:spacing w:after="0" w:line="28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الكوميت</w:t>
            </w:r>
          </w:p>
        </w:tc>
        <w:tc>
          <w:tcPr>
            <w:tcW w:type="dxa" w:w="1500"/>
            <w:shd w:fill="2563EB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bidi/>
              <w:spacing w:after="0" w:line="28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الحالة</w:t>
            </w:r>
          </w:p>
        </w:tc>
      </w:tr>
      <w:tr>
        <w:tc>
          <w:tcPr>
            <w:tcW w:type="dxa" w:w="125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bidi/>
              <w:spacing w:after="0" w:line="28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  <w:rtl/>
              </w:rPr>
              <w:t xml:space="preserve">9 سبتمبر 2026</w:t>
            </w:r>
          </w:p>
        </w:tc>
        <w:tc>
          <w:tcPr>
            <w:tcW w:type="dxa" w:w="125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bidi/>
              <w:spacing w:after="0" w:line="28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  <w:rtl/>
              </w:rPr>
              <w:t xml:space="preserve">الفوترة</w:t>
            </w:r>
          </w:p>
        </w:tc>
        <w:tc>
          <w:tcPr>
            <w:tcW w:type="dxa" w:w="115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bidi/>
              <w:spacing w:after="0" w:line="28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  <w:rtl/>
              </w:rPr>
              <w:t xml:space="preserve">/billing</w:t>
            </w:r>
          </w:p>
        </w:tc>
        <w:tc>
          <w:tcPr>
            <w:tcW w:type="dxa" w:w="25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bidi/>
              <w:spacing w:after="0" w:line="28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  <w:rtl/>
              </w:rPr>
              <w:t xml:space="preserve">src/pages/Billing.tsx</w:t>
            </w:r>
          </w:p>
        </w:tc>
        <w:tc>
          <w:tcPr>
            <w:tcW w:type="dxa" w:w="135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bidi/>
              <w:spacing w:after="0" w:line="28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  <w:rtl/>
              </w:rPr>
              <w:t xml:space="preserve">be5b3c0</w:t>
            </w:r>
          </w:p>
        </w:tc>
        <w:tc>
          <w:tcPr>
            <w:tcW w:type="dxa" w:w="1500"/>
            <w:shd w:fill="ECFDF5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bidi/>
              <w:spacing w:after="0" w:line="280"/>
              <w:jc w:val="right"/>
            </w:pPr>
            <w:r>
              <w:rPr>
                <w:rFonts w:ascii="Arial" w:cs="Arial" w:eastAsia="Arial" w:hAnsi="Arial"/>
                <w:b/>
                <w:bCs/>
                <w:color w:val="15803D"/>
                <w:sz w:val="19"/>
                <w:szCs w:val="19"/>
                <w:rtl/>
              </w:rPr>
              <w:t xml:space="preserve">منشور على الإنتاج</w:t>
            </w:r>
          </w:p>
        </w:tc>
      </w:tr>
    </w:tbl>
    <w:p>
      <w:pPr>
        <w:spacing w:after="90"/>
      </w:pPr>
    </w:p>
    <w:p>
      <w:pPr>
        <w:pStyle w:val="ListParagraph"/>
        <w:numPr>
          <w:ilvl w:val="0"/>
          <w:numId w:val="2"/>
        </w:numPr>
        <w:bidi/>
        <w:spacing w:after="70" w:line="290"/>
        <w:jc w:val="right"/>
      </w:pPr>
      <w:r>
        <w:rPr>
          <w:rFonts w:ascii="Arial" w:cs="Arial" w:eastAsia="Arial" w:hAnsi="Arial"/>
          <w:color w:val="1E293B"/>
          <w:sz w:val="21"/>
          <w:szCs w:val="21"/>
          <w:rtl/>
        </w:rPr>
        <w:t xml:space="preserve">زر «ترقية» أصبح «تغيير الباقة».</w:t>
      </w:r>
    </w:p>
    <w:p>
      <w:pPr>
        <w:pStyle w:val="ListParagraph"/>
        <w:numPr>
          <w:ilvl w:val="0"/>
          <w:numId w:val="2"/>
        </w:numPr>
        <w:bidi/>
        <w:spacing w:after="70" w:line="290"/>
        <w:jc w:val="right"/>
      </w:pPr>
      <w:r>
        <w:rPr>
          <w:rFonts w:ascii="Arial" w:cs="Arial" w:eastAsia="Arial" w:hAnsi="Arial"/>
          <w:color w:val="1E293B"/>
          <w:sz w:val="21"/>
          <w:szCs w:val="21"/>
          <w:rtl/>
        </w:rPr>
        <w:t xml:space="preserve">سبب التغيير: الزر يوصّل إلى مسار يشمل الترقية والتخفيض معاً، فالتسمية القديمة كانت تصف نصف وظيفته.</w:t>
      </w:r>
    </w:p>
    <w:p>
      <w:pPr>
        <w:spacing w:after="160"/>
      </w:pPr>
    </w:p>
    <w:p>
      <w:pPr>
        <w:pStyle w:val="Heading2"/>
        <w:bidi/>
        <w:spacing w:after="120" w:before="300"/>
        <w:jc w:val="right"/>
      </w:pPr>
      <w:r>
        <w:rPr>
          <w:rFonts w:ascii="Arial" w:cs="Arial" w:eastAsia="Arial" w:hAnsi="Arial"/>
          <w:b/>
          <w:bCs/>
          <w:color w:val="1E293B"/>
          <w:sz w:val="24"/>
          <w:szCs w:val="24"/>
          <w:rtl/>
        </w:rPr>
        <w:t xml:space="preserve">تعديل رقم 1 — ميزة تغيير الباقة — US-131</w:t>
      </w:r>
    </w:p>
    <w:p>
      <w:pPr>
        <w:spacing w:after="50"/>
      </w:pPr>
    </w:p>
    <w:tbl>
      <w:tblPr>
        <w:bidiVisual/>
        <w:tblW w:type="dxa" w:w="90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250"/>
        <w:gridCol w:w="1250"/>
        <w:gridCol w:w="1150"/>
        <w:gridCol w:w="2500"/>
        <w:gridCol w:w="1350"/>
        <w:gridCol w:w="1500"/>
      </w:tblGrid>
      <w:tr>
        <w:trPr>
          <w:tblHeader/>
        </w:trPr>
        <w:tc>
          <w:tcPr>
            <w:tcW w:type="dxa" w:w="1250"/>
            <w:shd w:fill="2563EB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bidi/>
              <w:spacing w:after="0" w:line="28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التاريخ</w:t>
            </w:r>
          </w:p>
        </w:tc>
        <w:tc>
          <w:tcPr>
            <w:tcW w:type="dxa" w:w="1250"/>
            <w:shd w:fill="2563EB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bidi/>
              <w:spacing w:after="0" w:line="28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الصفحة</w:t>
            </w:r>
          </w:p>
        </w:tc>
        <w:tc>
          <w:tcPr>
            <w:tcW w:type="dxa" w:w="1150"/>
            <w:shd w:fill="2563EB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bidi/>
              <w:spacing w:after="0" w:line="28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المسار</w:t>
            </w:r>
          </w:p>
        </w:tc>
        <w:tc>
          <w:tcPr>
            <w:tcW w:type="dxa" w:w="2500"/>
            <w:shd w:fill="2563EB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bidi/>
              <w:spacing w:after="0" w:line="28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الملف</w:t>
            </w:r>
          </w:p>
        </w:tc>
        <w:tc>
          <w:tcPr>
            <w:tcW w:type="dxa" w:w="1350"/>
            <w:shd w:fill="2563EB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bidi/>
              <w:spacing w:after="0" w:line="28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الكوميت</w:t>
            </w:r>
          </w:p>
        </w:tc>
        <w:tc>
          <w:tcPr>
            <w:tcW w:type="dxa" w:w="1500"/>
            <w:shd w:fill="2563EB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bidi/>
              <w:spacing w:after="0" w:line="28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الحالة</w:t>
            </w:r>
          </w:p>
        </w:tc>
      </w:tr>
      <w:tr>
        <w:tc>
          <w:tcPr>
            <w:tcW w:type="dxa" w:w="125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bidi/>
              <w:spacing w:after="0" w:line="28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  <w:rtl/>
              </w:rPr>
              <w:t xml:space="preserve">9 سبتمبر 2026</w:t>
            </w:r>
          </w:p>
        </w:tc>
        <w:tc>
          <w:tcPr>
            <w:tcW w:type="dxa" w:w="125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bidi/>
              <w:spacing w:after="0" w:line="28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  <w:rtl/>
              </w:rPr>
              <w:t xml:space="preserve">الاشتراك</w:t>
            </w:r>
          </w:p>
        </w:tc>
        <w:tc>
          <w:tcPr>
            <w:tcW w:type="dxa" w:w="115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bidi/>
              <w:spacing w:after="0" w:line="28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  <w:rtl/>
              </w:rPr>
              <w:t xml:space="preserve">/subscribe</w:t>
            </w:r>
          </w:p>
        </w:tc>
        <w:tc>
          <w:tcPr>
            <w:tcW w:type="dxa" w:w="25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bidi/>
              <w:spacing w:after="0" w:line="28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  <w:rtl/>
              </w:rPr>
              <w:t xml:space="preserve">src/pages/Subscribe.tsx</w:t>
            </w:r>
          </w:p>
        </w:tc>
        <w:tc>
          <w:tcPr>
            <w:tcW w:type="dxa" w:w="135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bidi/>
              <w:spacing w:after="0" w:line="28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  <w:rtl/>
              </w:rPr>
              <w:t xml:space="preserve">be5b3c0 · c49b797</w:t>
            </w:r>
          </w:p>
        </w:tc>
        <w:tc>
          <w:tcPr>
            <w:tcW w:type="dxa" w:w="1500"/>
            <w:shd w:fill="ECFDF5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bidi/>
              <w:spacing w:after="0" w:line="280"/>
              <w:jc w:val="right"/>
            </w:pPr>
            <w:r>
              <w:rPr>
                <w:rFonts w:ascii="Arial" w:cs="Arial" w:eastAsia="Arial" w:hAnsi="Arial"/>
                <w:b/>
                <w:bCs/>
                <w:color w:val="15803D"/>
                <w:sz w:val="19"/>
                <w:szCs w:val="19"/>
                <w:rtl/>
              </w:rPr>
              <w:t xml:space="preserve">منشور على الإنتاج</w:t>
            </w:r>
          </w:p>
        </w:tc>
      </w:tr>
    </w:tbl>
    <w:p>
      <w:pPr>
        <w:spacing w:after="90"/>
      </w:pPr>
    </w:p>
    <w:p>
      <w:pPr>
        <w:pStyle w:val="ListParagraph"/>
        <w:numPr>
          <w:ilvl w:val="0"/>
          <w:numId w:val="2"/>
        </w:numPr>
        <w:bidi/>
        <w:spacing w:after="70" w:line="290"/>
        <w:jc w:val="right"/>
      </w:pPr>
      <w:r>
        <w:rPr>
          <w:rFonts w:ascii="Arial" w:cs="Arial" w:eastAsia="Arial" w:hAnsi="Arial"/>
          <w:color w:val="1E293B"/>
          <w:sz w:val="21"/>
          <w:szCs w:val="21"/>
          <w:rtl/>
        </w:rPr>
        <w:t xml:space="preserve">إعادة بناء شبه كاملة للصفحة — 715 سطراً متغيّراً.</w:t>
      </w:r>
    </w:p>
    <w:p>
      <w:pPr>
        <w:pStyle w:val="ListParagraph"/>
        <w:numPr>
          <w:ilvl w:val="0"/>
          <w:numId w:val="2"/>
        </w:numPr>
        <w:bidi/>
        <w:spacing w:after="70" w:line="290"/>
        <w:jc w:val="right"/>
      </w:pPr>
      <w:r>
        <w:rPr>
          <w:rFonts w:ascii="Arial" w:cs="Arial" w:eastAsia="Arial" w:hAnsi="Arial"/>
          <w:color w:val="1E293B"/>
          <w:sz w:val="21"/>
          <w:szCs w:val="21"/>
          <w:rtl/>
        </w:rPr>
        <w:t xml:space="preserve">اختيار الباقة صار بشريط تمرير (slider) حسب عدد المحادثات الشهرية بدل شبكة الكروت. كل باقة نقطة توقف على الشريط، وباقة المؤسسات هي النقطة الأخيرة بعنوان «غير محدود».</w:t>
      </w:r>
    </w:p>
    <w:p>
      <w:pPr>
        <w:pStyle w:val="ListParagraph"/>
        <w:numPr>
          <w:ilvl w:val="0"/>
          <w:numId w:val="2"/>
        </w:numPr>
        <w:bidi/>
        <w:spacing w:after="70" w:line="290"/>
        <w:jc w:val="right"/>
      </w:pPr>
      <w:r>
        <w:rPr>
          <w:rFonts w:ascii="Arial" w:cs="Arial" w:eastAsia="Arial" w:hAnsi="Arial"/>
          <w:color w:val="1E293B"/>
          <w:sz w:val="21"/>
          <w:szCs w:val="21"/>
          <w:rtl/>
        </w:rPr>
        <w:t xml:space="preserve">مسار من ست خطوات: اختيار الباقة، ثم تأكيد التخفيض، ثم الدفع، ثم المعالجة، ثم النجاح أو الفشل.</w:t>
      </w:r>
    </w:p>
    <w:p>
      <w:pPr>
        <w:pStyle w:val="ListParagraph"/>
        <w:numPr>
          <w:ilvl w:val="0"/>
          <w:numId w:val="2"/>
        </w:numPr>
        <w:bidi/>
        <w:spacing w:after="70" w:line="290"/>
        <w:jc w:val="right"/>
      </w:pPr>
      <w:r>
        <w:rPr>
          <w:rFonts w:ascii="Arial" w:cs="Arial" w:eastAsia="Arial" w:hAnsi="Arial"/>
          <w:color w:val="1E293B"/>
          <w:sz w:val="21"/>
          <w:szCs w:val="21"/>
          <w:rtl/>
        </w:rPr>
        <w:t xml:space="preserve">احتساب تناسبي للترقية: يُحصَّل فرق السعر عن الأيام المتبقية من الدورة الحالية فقط، ويظهر المبلغ مفصّلاً في ملخص الدفع.</w:t>
      </w:r>
    </w:p>
    <w:p>
      <w:pPr>
        <w:pStyle w:val="ListParagraph"/>
        <w:numPr>
          <w:ilvl w:val="0"/>
          <w:numId w:val="2"/>
        </w:numPr>
        <w:bidi/>
        <w:spacing w:after="70" w:line="290"/>
        <w:jc w:val="right"/>
      </w:pPr>
      <w:r>
        <w:rPr>
          <w:rFonts w:ascii="Arial" w:cs="Arial" w:eastAsia="Arial" w:hAnsi="Arial"/>
          <w:color w:val="1E293B"/>
          <w:sz w:val="21"/>
          <w:szCs w:val="21"/>
          <w:rtl/>
        </w:rPr>
        <w:t xml:space="preserve">التخفيض له شاشة تأكيد مستقلة ولا يذهب مباشرة إلى الدفع.</w:t>
      </w:r>
    </w:p>
    <w:p>
      <w:pPr>
        <w:pStyle w:val="ListParagraph"/>
        <w:numPr>
          <w:ilvl w:val="0"/>
          <w:numId w:val="2"/>
        </w:numPr>
        <w:bidi/>
        <w:spacing w:after="70" w:line="290"/>
        <w:jc w:val="right"/>
      </w:pPr>
      <w:r>
        <w:rPr>
          <w:rFonts w:ascii="Arial" w:cs="Arial" w:eastAsia="Arial" w:hAnsi="Arial"/>
          <w:color w:val="1E293B"/>
          <w:sz w:val="21"/>
          <w:szCs w:val="21"/>
          <w:rtl/>
        </w:rPr>
        <w:t xml:space="preserve">دورة الفوترة تُقرأ من اشتراك العميل الحالي بدل أن تبدأ بقيمة ثابتة.</w:t>
      </w:r>
    </w:p>
    <w:p>
      <w:pPr>
        <w:pStyle w:val="ListParagraph"/>
        <w:numPr>
          <w:ilvl w:val="0"/>
          <w:numId w:val="2"/>
        </w:numPr>
        <w:bidi/>
        <w:spacing w:after="70" w:line="290"/>
        <w:jc w:val="right"/>
      </w:pPr>
      <w:r>
        <w:rPr>
          <w:rFonts w:ascii="Arial" w:cs="Arial" w:eastAsia="Arial" w:hAnsi="Arial"/>
          <w:color w:val="1E293B"/>
          <w:sz w:val="21"/>
          <w:szCs w:val="21"/>
          <w:rtl/>
        </w:rPr>
        <w:t xml:space="preserve">أُصلحت علامات تعارض الدمج (merge conflict markers) التي كانت باقية في الملف — كوميت c49b797.</w:t>
      </w:r>
    </w:p>
    <w:p>
      <w:r>
        <w:br w:type="page"/>
      </w:r>
    </w:p>
    <w:p>
      <w:pPr>
        <w:pStyle w:val="Heading1"/>
        <w:pBdr>
          <w:bottom w:val="single" w:color="2563EB" w:sz="12" w:space="6"/>
        </w:pBdr>
        <w:bidi/>
        <w:spacing w:after="160" w:before="360"/>
        <w:jc w:val="right"/>
      </w:pPr>
      <w:r>
        <w:rPr>
          <w:rFonts w:ascii="Arial" w:cs="Arial" w:eastAsia="Arial" w:hAnsi="Arial"/>
          <w:b/>
          <w:bCs/>
          <w:color w:val="2563EB"/>
          <w:sz w:val="30"/>
          <w:szCs w:val="30"/>
          <w:rtl/>
        </w:rPr>
        <w:t xml:space="preserve">كيف يُحدَّث هذا السجل</w:t>
      </w:r>
    </w:p>
    <w:p>
      <w:pPr>
        <w:bidi/>
        <w:spacing w:after="100" w:before="0" w:line="300"/>
        <w:jc w:val="right"/>
      </w:pPr>
      <w:r>
        <w:rPr>
          <w:rFonts w:ascii="Arial" w:cs="Arial" w:eastAsia="Arial" w:hAnsi="Arial"/>
          <w:b w:val="false"/>
          <w:bCs w:val="false"/>
          <w:color w:val="1E293B"/>
          <w:sz w:val="21"/>
          <w:szCs w:val="21"/>
          <w:rtl/>
        </w:rPr>
        <w:t xml:space="preserve">هذه الوثيقة مُولَّدة من سكربت، فلا تُحرَّر يدوياً في Word — أي تعديل يدوي سيضيع عند التوليد التالي.</w:t>
      </w:r>
    </w:p>
    <w:p>
      <w:pPr>
        <w:spacing w:after="60"/>
      </w:pPr>
    </w:p>
    <w:p>
      <w:pPr>
        <w:pStyle w:val="ListParagraph"/>
        <w:numPr>
          <w:ilvl w:val="0"/>
          <w:numId w:val="2"/>
        </w:numPr>
        <w:bidi/>
        <w:spacing w:after="70" w:line="290"/>
        <w:jc w:val="right"/>
      </w:pPr>
      <w:r>
        <w:rPr>
          <w:rFonts w:ascii="Arial" w:cs="Arial" w:eastAsia="Arial" w:hAnsi="Arial"/>
          <w:color w:val="1E293B"/>
          <w:sz w:val="21"/>
          <w:szCs w:val="21"/>
          <w:rtl/>
        </w:rPr>
        <w:t xml:space="preserve">كل تعديل جديد يُضاف كعنصر في أعلى مصفوفة ENTRIES داخل سكربت التوليد.</w:t>
      </w:r>
    </w:p>
    <w:p>
      <w:pPr>
        <w:pStyle w:val="ListParagraph"/>
        <w:numPr>
          <w:ilvl w:val="0"/>
          <w:numId w:val="2"/>
        </w:numPr>
        <w:bidi/>
        <w:spacing w:after="70" w:line="290"/>
        <w:jc w:val="right"/>
      </w:pPr>
      <w:r>
        <w:rPr>
          <w:rFonts w:ascii="Arial" w:cs="Arial" w:eastAsia="Arial" w:hAnsi="Arial"/>
          <w:color w:val="1E293B"/>
          <w:sz w:val="21"/>
          <w:szCs w:val="21"/>
          <w:rtl/>
        </w:rPr>
        <w:t xml:space="preserve">العنصر يحمل: الرقم، التاريخ، العنوان، الصفحة، المسار، الملف، الكوميت، الحالة، وقائمة النقاط.</w:t>
      </w:r>
    </w:p>
    <w:p>
      <w:pPr>
        <w:pStyle w:val="ListParagraph"/>
        <w:numPr>
          <w:ilvl w:val="0"/>
          <w:numId w:val="2"/>
        </w:numPr>
        <w:bidi/>
        <w:spacing w:after="70" w:line="290"/>
        <w:jc w:val="right"/>
      </w:pPr>
      <w:r>
        <w:rPr>
          <w:rFonts w:ascii="Arial" w:cs="Arial" w:eastAsia="Arial" w:hAnsi="Arial"/>
          <w:color w:val="1E293B"/>
          <w:sz w:val="21"/>
          <w:szCs w:val="21"/>
          <w:rtl/>
        </w:rPr>
        <w:t xml:space="preserve">الحالة تأخذ إحدى ثلاث قيم: live أو pending أو wip.</w:t>
      </w:r>
    </w:p>
    <w:p>
      <w:pPr>
        <w:pStyle w:val="ListParagraph"/>
        <w:numPr>
          <w:ilvl w:val="0"/>
          <w:numId w:val="2"/>
        </w:numPr>
        <w:bidi/>
        <w:spacing w:after="70" w:line="290"/>
        <w:jc w:val="right"/>
      </w:pPr>
      <w:r>
        <w:rPr>
          <w:rFonts w:ascii="Arial" w:cs="Arial" w:eastAsia="Arial" w:hAnsi="Arial"/>
          <w:color w:val="1E293B"/>
          <w:sz w:val="21"/>
          <w:szCs w:val="21"/>
          <w:rtl/>
        </w:rPr>
        <w:t xml:space="preserve">عند نشر أي تعديل على السيرفر تُحدَّث حالته من pending إلى live، ويُحدَّث رقم البناء المنشور في أعلى السكربت.</w:t>
      </w:r>
    </w:p>
    <w:p>
      <w:pPr>
        <w:pStyle w:val="ListParagraph"/>
        <w:numPr>
          <w:ilvl w:val="0"/>
          <w:numId w:val="2"/>
        </w:numPr>
        <w:bidi/>
        <w:spacing w:after="70" w:line="290"/>
        <w:jc w:val="right"/>
      </w:pPr>
      <w:r>
        <w:rPr>
          <w:rFonts w:ascii="Arial" w:cs="Arial" w:eastAsia="Arial" w:hAnsi="Arial"/>
          <w:color w:val="1E293B"/>
          <w:sz w:val="21"/>
          <w:szCs w:val="21"/>
          <w:rtl/>
        </w:rPr>
        <w:t xml:space="preserve">جدول الملخص ومربع حالة النشر يُحسبان تلقائياً من البيانات، فلا حاجة لتعديلهما يدوياً.</w:t>
      </w:r>
    </w:p>
    <w:p>
      <w:pPr>
        <w:spacing w:after="220"/>
      </w:pPr>
    </w:p>
    <w:p>
      <w:pPr>
        <w:bidi/>
        <w:spacing w:after="100" w:before="0" w:line="300"/>
        <w:jc w:val="center"/>
      </w:pPr>
      <w:r>
        <w:rPr>
          <w:rFonts w:ascii="Arial" w:cs="Arial" w:eastAsia="Arial" w:hAnsi="Arial"/>
          <w:b w:val="false"/>
          <w:bCs w:val="false"/>
          <w:color w:val="64748B"/>
          <w:sz w:val="20"/>
          <w:szCs w:val="20"/>
          <w:rtl/>
        </w:rPr>
        <w:t xml:space="preserve">عدد التعديلات المسجّلة: 3</w:t>
      </w:r>
    </w:p>
    <w:sectPr>
      <w:pgSz w:w="11906" w:h="16838" w:orient="portrait"/>
      <w:pgMar w:top="1100" w:right="1080" w:bottom="110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right"/>
      <w:pPr>
        <w:ind w:right="403" w:hanging="316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E293B"/>
        <w:sz w:val="21"/>
        <w:szCs w:val="21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2026-09-10T07:10:18.004Z</dcterms:created>
  <dcterms:modified xsi:type="dcterms:W3CDTF">2026-09-10T07:10:18.004Z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