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bidi/>
        <w:spacing w:after="120"/>
        <w:jc w:val="center"/>
      </w:pPr>
      <w:r>
        <w:rPr>
          <w:rFonts w:ascii="Arial" w:cs="Arial" w:eastAsia="Arial" w:hAnsi="Arial"/>
          <w:b/>
          <w:bCs/>
          <w:color w:val="2563EB"/>
          <w:sz w:val="58"/>
          <w:szCs w:val="58"/>
        </w:rPr>
        <w:t xml:space="preserve">Qhub</w:t>
      </w:r>
    </w:p>
    <w:p>
      <w:pPr>
        <w:bidi/>
        <w:spacing w:after="180"/>
        <w:jc w:val="center"/>
      </w:pPr>
      <w:r>
        <w:rPr>
          <w:rFonts w:ascii="Arial" w:cs="Arial" w:eastAsia="Arial" w:hAnsi="Arial"/>
          <w:b/>
          <w:bCs/>
          <w:color w:val="1E293B"/>
          <w:sz w:val="44"/>
          <w:szCs w:val="44"/>
          <w:rtl/>
        </w:rPr>
        <w:t xml:space="preserve">سجل التعديلات</w:t>
      </w:r>
    </w:p>
    <w:p>
      <w:pPr>
        <w:bidi/>
        <w:spacing w:after="600"/>
        <w:jc w:val="center"/>
      </w:pPr>
      <w:r>
        <w:rPr>
          <w:rFonts w:ascii="Arial" w:cs="Arial" w:eastAsia="Arial" w:hAnsi="Arial"/>
          <w:color w:val="64748B"/>
          <w:sz w:val="26"/>
          <w:szCs w:val="26"/>
          <w:rtl/>
        </w:rPr>
        <w:t xml:space="preserve">بورتال الكلاينت</w:t>
      </w:r>
    </w:p>
    <w:p>
      <w:pPr>
        <w:bidi/>
        <w:spacing w:after="60"/>
        <w:jc w:val="center"/>
      </w:pPr>
      <w:r>
        <w:rPr>
          <w:rFonts w:ascii="Arial" w:cs="Arial" w:eastAsia="Arial" w:hAnsi="Arial"/>
          <w:color w:val="64748B"/>
          <w:sz w:val="21"/>
          <w:szCs w:val="21"/>
          <w:rtl/>
        </w:rPr>
        <w:t xml:space="preserve">وثيقة حيّة — تُحدَّث مع كل تعديل جديد</w:t>
      </w:r>
    </w:p>
    <w:p>
      <w:pPr>
        <w:bidi/>
        <w:spacing w:after="60"/>
        <w:jc w:val="center"/>
      </w:pPr>
      <w:r>
        <w:rPr>
          <w:rFonts w:ascii="Arial" w:cs="Arial" w:eastAsia="Arial" w:hAnsi="Arial"/>
          <w:color w:val="64748B"/>
          <w:sz w:val="21"/>
          <w:szCs w:val="21"/>
          <w:rtl/>
        </w:rPr>
        <w:t xml:space="preserve">آخر تحديث: 10 سبتمبر 2026</w:t>
      </w:r>
    </w:p>
    <w:p>
      <w:r>
        <w:br w:type="page"/>
      </w:r>
    </w:p>
    <w:p>
      <w:pPr>
        <w:pStyle w:val="Heading1"/>
        <w:pBdr>
          <w:bottom w:val="single" w:color="2563EB" w:sz="12" w:space="6"/>
        </w:pBdr>
        <w:bidi/>
        <w:spacing w:after="160" w:before="360"/>
        <w:jc w:val="right"/>
      </w:pPr>
      <w:r>
        <w:rPr>
          <w:rFonts w:ascii="Arial" w:cs="Arial" w:eastAsia="Arial" w:hAnsi="Arial"/>
          <w:b/>
          <w:bCs/>
          <w:color w:val="2563EB"/>
          <w:sz w:val="30"/>
          <w:szCs w:val="30"/>
          <w:rtl/>
        </w:rPr>
        <w:t xml:space="preserve">ملخص التعديلات</w:t>
      </w:r>
    </w:p>
    <w:p>
      <w:pPr>
        <w:bidi/>
        <w:spacing w:after="100" w:before="0" w:line="300"/>
        <w:jc w:val="right"/>
      </w:pPr>
      <w:r>
        <w:rPr>
          <w:rFonts w:ascii="Arial" w:cs="Arial" w:eastAsia="Arial" w:hAnsi="Arial"/>
          <w:b w:val="false"/>
          <w:bCs w:val="false"/>
          <w:color w:val="1E293B"/>
          <w:sz w:val="21"/>
          <w:szCs w:val="21"/>
          <w:rtl/>
        </w:rPr>
        <w:t xml:space="preserve">كل تعديل على بورتال الكلاينت، الأحدث أولاً. التفاصيل الكاملة في القسم التالي.</w:t>
      </w:r>
    </w:p>
    <w:p>
      <w:pPr>
        <w:spacing w:after="8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600"/>
        <w:gridCol w:w="1500"/>
        <w:gridCol w:w="3600"/>
        <w:gridCol w:w="1500"/>
        <w:gridCol w:w="1800"/>
      </w:tblGrid>
      <w:tr>
        <w:trPr>
          <w:tblHeader/>
        </w:trPr>
        <w:tc>
          <w:tcPr>
            <w:tcW w:type="dxa" w:w="6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36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التعديل</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8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600"/>
            <w:tcMar>
              <w:top w:type="dxa" w:w="90"/>
              <w:left w:type="dxa" w:w="110"/>
              <w:bottom w:type="dxa" w:w="90"/>
              <w:right w:type="dxa" w:w="110"/>
            </w:tcMar>
          </w:tcPr>
          <w:p>
            <w:pPr>
              <w:bidi/>
              <w:spacing w:after="0" w:line="280"/>
              <w:jc w:val="right"/>
            </w:pPr>
            <w:r>
              <w:rPr>
                <w:rFonts w:ascii="Arial" w:cs="Arial" w:eastAsia="Arial" w:hAnsi="Arial"/>
                <w:b/>
                <w:bCs/>
                <w:color w:val="2563EB"/>
                <w:sz w:val="19"/>
                <w:szCs w:val="19"/>
                <w:rtl/>
              </w:rPr>
              <w:t xml:space="preserve">6</w:t>
            </w:r>
          </w:p>
        </w:tc>
        <w:tc>
          <w:tcPr>
            <w:tcW w:type="dxa" w:w="1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36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إعادة تصميم شريط الفهرسة على هيئة مسطرة تظهر عند الاقتراب</w:t>
            </w:r>
          </w:p>
        </w:tc>
        <w:tc>
          <w:tcPr>
            <w:tcW w:type="dxa" w:w="1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صندوق الوارد</w:t>
            </w:r>
          </w:p>
        </w:tc>
        <w:tc>
          <w:tcPr>
            <w:tcW w:type="dxa" w:w="1800"/>
            <w:shd w:fill="FFFBEB" w:color="auto" w:val="clear"/>
            <w:tcMar>
              <w:top w:type="dxa" w:w="90"/>
              <w:left w:type="dxa" w:w="110"/>
              <w:bottom w:type="dxa" w:w="90"/>
              <w:right w:type="dxa" w:w="110"/>
            </w:tcMar>
          </w:tcPr>
          <w:p>
            <w:pPr>
              <w:bidi/>
              <w:spacing w:after="0" w:line="280"/>
              <w:jc w:val="right"/>
            </w:pPr>
            <w:r>
              <w:rPr>
                <w:rFonts w:ascii="Arial" w:cs="Arial" w:eastAsia="Arial" w:hAnsi="Arial"/>
                <w:b/>
                <w:bCs/>
                <w:color w:val="B45309"/>
                <w:sz w:val="19"/>
                <w:szCs w:val="19"/>
                <w:rtl/>
              </w:rPr>
              <w:t xml:space="preserve">مرفوع — غير منشور</w:t>
            </w:r>
          </w:p>
        </w:tc>
      </w:tr>
      <w:tr>
        <w:tc>
          <w:tcPr>
            <w:tcW w:type="dxa" w:w="600"/>
            <w:shd w:fill="F1F5F9" w:color="auto" w:val="clear"/>
            <w:tcMar>
              <w:top w:type="dxa" w:w="90"/>
              <w:left w:type="dxa" w:w="110"/>
              <w:bottom w:type="dxa" w:w="90"/>
              <w:right w:type="dxa" w:w="110"/>
            </w:tcMar>
          </w:tcPr>
          <w:p>
            <w:pPr>
              <w:bidi/>
              <w:spacing w:after="0" w:line="280"/>
              <w:jc w:val="right"/>
            </w:pPr>
            <w:r>
              <w:rPr>
                <w:rFonts w:ascii="Arial" w:cs="Arial" w:eastAsia="Arial" w:hAnsi="Arial"/>
                <w:b/>
                <w:bCs/>
                <w:color w:val="2563EB"/>
                <w:sz w:val="19"/>
                <w:szCs w:val="19"/>
                <w:rtl/>
              </w:rPr>
              <w:t xml:space="preserve">5</w:t>
            </w:r>
          </w:p>
        </w:tc>
        <w:tc>
          <w:tcPr>
            <w:tcW w:type="dxa" w:w="15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36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شريط فهرسة دورات المحادثة داخل الثريد</w:t>
            </w:r>
          </w:p>
        </w:tc>
        <w:tc>
          <w:tcPr>
            <w:tcW w:type="dxa" w:w="15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صندوق الوارد</w:t>
            </w:r>
          </w:p>
        </w:tc>
        <w:tc>
          <w:tcPr>
            <w:tcW w:type="dxa" w:w="18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r>
        <w:tc>
          <w:tcPr>
            <w:tcW w:type="dxa" w:w="600"/>
            <w:tcMar>
              <w:top w:type="dxa" w:w="90"/>
              <w:left w:type="dxa" w:w="110"/>
              <w:bottom w:type="dxa" w:w="90"/>
              <w:right w:type="dxa" w:w="110"/>
            </w:tcMar>
          </w:tcPr>
          <w:p>
            <w:pPr>
              <w:bidi/>
              <w:spacing w:after="0" w:line="280"/>
              <w:jc w:val="right"/>
            </w:pPr>
            <w:r>
              <w:rPr>
                <w:rFonts w:ascii="Arial" w:cs="Arial" w:eastAsia="Arial" w:hAnsi="Arial"/>
                <w:b/>
                <w:bCs/>
                <w:color w:val="2563EB"/>
                <w:sz w:val="19"/>
                <w:szCs w:val="19"/>
                <w:rtl/>
              </w:rPr>
              <w:t xml:space="preserve">4</w:t>
            </w:r>
          </w:p>
        </w:tc>
        <w:tc>
          <w:tcPr>
            <w:tcW w:type="dxa" w:w="1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36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تسجيل دورات المحادثة واشتقاقها — أساس شريط فهرسة الثريد</w:t>
            </w:r>
          </w:p>
        </w:tc>
        <w:tc>
          <w:tcPr>
            <w:tcW w:type="dxa" w:w="1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صندوق الوارد (طبقة البيانات)</w:t>
            </w:r>
          </w:p>
        </w:tc>
        <w:tc>
          <w:tcPr>
            <w:tcW w:type="dxa" w:w="18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r>
        <w:tc>
          <w:tcPr>
            <w:tcW w:type="dxa" w:w="600"/>
            <w:shd w:fill="F1F5F9" w:color="auto" w:val="clear"/>
            <w:tcMar>
              <w:top w:type="dxa" w:w="90"/>
              <w:left w:type="dxa" w:w="110"/>
              <w:bottom w:type="dxa" w:w="90"/>
              <w:right w:type="dxa" w:w="110"/>
            </w:tcMar>
          </w:tcPr>
          <w:p>
            <w:pPr>
              <w:bidi/>
              <w:spacing w:after="0" w:line="280"/>
              <w:jc w:val="right"/>
            </w:pPr>
            <w:r>
              <w:rPr>
                <w:rFonts w:ascii="Arial" w:cs="Arial" w:eastAsia="Arial" w:hAnsi="Arial"/>
                <w:b/>
                <w:bCs/>
                <w:color w:val="2563EB"/>
                <w:sz w:val="19"/>
                <w:szCs w:val="19"/>
                <w:rtl/>
              </w:rPr>
              <w:t xml:space="preserve">3</w:t>
            </w:r>
          </w:p>
        </w:tc>
        <w:tc>
          <w:tcPr>
            <w:tcW w:type="dxa" w:w="15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36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إزالة كارت نسبة الاستجابة من صفحة تقييمات العملاء</w:t>
            </w:r>
          </w:p>
        </w:tc>
        <w:tc>
          <w:tcPr>
            <w:tcW w:type="dxa" w:w="15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تقييمات العملاء</w:t>
            </w:r>
          </w:p>
        </w:tc>
        <w:tc>
          <w:tcPr>
            <w:tcW w:type="dxa" w:w="18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r>
        <w:tc>
          <w:tcPr>
            <w:tcW w:type="dxa" w:w="600"/>
            <w:tcMar>
              <w:top w:type="dxa" w:w="90"/>
              <w:left w:type="dxa" w:w="110"/>
              <w:bottom w:type="dxa" w:w="90"/>
              <w:right w:type="dxa" w:w="110"/>
            </w:tcMar>
          </w:tcPr>
          <w:p>
            <w:pPr>
              <w:bidi/>
              <w:spacing w:after="0" w:line="280"/>
              <w:jc w:val="right"/>
            </w:pPr>
            <w:r>
              <w:rPr>
                <w:rFonts w:ascii="Arial" w:cs="Arial" w:eastAsia="Arial" w:hAnsi="Arial"/>
                <w:b/>
                <w:bCs/>
                <w:color w:val="2563EB"/>
                <w:sz w:val="19"/>
                <w:szCs w:val="19"/>
                <w:rtl/>
              </w:rPr>
              <w:t xml:space="preserve">2</w:t>
            </w:r>
          </w:p>
        </w:tc>
        <w:tc>
          <w:tcPr>
            <w:tcW w:type="dxa" w:w="1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9 سبتمبر 2026</w:t>
            </w:r>
          </w:p>
        </w:tc>
        <w:tc>
          <w:tcPr>
            <w:tcW w:type="dxa" w:w="36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تغيير تسمية زر الترقية في صفحة الفوترة</w:t>
            </w:r>
          </w:p>
        </w:tc>
        <w:tc>
          <w:tcPr>
            <w:tcW w:type="dxa" w:w="1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الفوترة</w:t>
            </w:r>
          </w:p>
        </w:tc>
        <w:tc>
          <w:tcPr>
            <w:tcW w:type="dxa" w:w="18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r>
        <w:tc>
          <w:tcPr>
            <w:tcW w:type="dxa" w:w="600"/>
            <w:shd w:fill="F1F5F9" w:color="auto" w:val="clear"/>
            <w:tcMar>
              <w:top w:type="dxa" w:w="90"/>
              <w:left w:type="dxa" w:w="110"/>
              <w:bottom w:type="dxa" w:w="90"/>
              <w:right w:type="dxa" w:w="110"/>
            </w:tcMar>
          </w:tcPr>
          <w:p>
            <w:pPr>
              <w:bidi/>
              <w:spacing w:after="0" w:line="280"/>
              <w:jc w:val="right"/>
            </w:pPr>
            <w:r>
              <w:rPr>
                <w:rFonts w:ascii="Arial" w:cs="Arial" w:eastAsia="Arial" w:hAnsi="Arial"/>
                <w:b/>
                <w:bCs/>
                <w:color w:val="2563EB"/>
                <w:sz w:val="19"/>
                <w:szCs w:val="19"/>
                <w:rtl/>
              </w:rPr>
              <w:t xml:space="preserve">1</w:t>
            </w:r>
          </w:p>
        </w:tc>
        <w:tc>
          <w:tcPr>
            <w:tcW w:type="dxa" w:w="15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9 سبتمبر 2026</w:t>
            </w:r>
          </w:p>
        </w:tc>
        <w:tc>
          <w:tcPr>
            <w:tcW w:type="dxa" w:w="36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ميزة تغيير الباقة — US-131</w:t>
            </w:r>
          </w:p>
        </w:tc>
        <w:tc>
          <w:tcPr>
            <w:tcW w:type="dxa" w:w="15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الاشتراك</w:t>
            </w:r>
          </w:p>
        </w:tc>
        <w:tc>
          <w:tcPr>
            <w:tcW w:type="dxa" w:w="18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bl>
    <w:p>
      <w:pPr>
        <w:pStyle w:val="Heading2"/>
        <w:bidi/>
        <w:spacing w:after="120" w:before="300"/>
        <w:jc w:val="right"/>
      </w:pPr>
      <w:r>
        <w:rPr>
          <w:rFonts w:ascii="Arial" w:cs="Arial" w:eastAsia="Arial" w:hAnsi="Arial"/>
          <w:b/>
          <w:bCs/>
          <w:color w:val="1E293B"/>
          <w:sz w:val="24"/>
          <w:szCs w:val="24"/>
          <w:rtl/>
        </w:rPr>
        <w:t xml:space="preserve">دلالة الحالات</w:t>
      </w:r>
    </w:p>
    <w:p>
      <w:pPr>
        <w:spacing w:after="6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600"/>
      </w:tblGrid>
      <w:tr>
        <w:trPr>
          <w:tblHeader/>
        </w:trPr>
        <w:tc>
          <w:tcPr>
            <w:tcW w:type="dxa" w:w="24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c>
          <w:tcPr>
            <w:tcW w:type="dxa" w:w="66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المعنى</w:t>
            </w:r>
          </w:p>
        </w:tc>
      </w:tr>
      <w:tr>
        <w:tc>
          <w:tcPr>
            <w:tcW w:type="dxa" w:w="24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c>
          <w:tcPr>
            <w:tcW w:type="dxa" w:w="66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التعديل مرفوع على الفرع ومنشور على qhub-client.apexes.click — العملاء يرونه الآن.</w:t>
            </w:r>
          </w:p>
        </w:tc>
      </w:tr>
      <w:tr>
        <w:tc>
          <w:tcPr>
            <w:tcW w:type="dxa" w:w="2400"/>
            <w:shd w:fill="FFFBEB" w:color="auto" w:val="clear"/>
            <w:tcMar>
              <w:top w:type="dxa" w:w="90"/>
              <w:left w:type="dxa" w:w="110"/>
              <w:bottom w:type="dxa" w:w="90"/>
              <w:right w:type="dxa" w:w="110"/>
            </w:tcMar>
          </w:tcPr>
          <w:p>
            <w:pPr>
              <w:bidi/>
              <w:spacing w:after="0" w:line="280"/>
              <w:jc w:val="right"/>
            </w:pPr>
            <w:r>
              <w:rPr>
                <w:rFonts w:ascii="Arial" w:cs="Arial" w:eastAsia="Arial" w:hAnsi="Arial"/>
                <w:b/>
                <w:bCs/>
                <w:color w:val="B45309"/>
                <w:sz w:val="19"/>
                <w:szCs w:val="19"/>
                <w:rtl/>
              </w:rPr>
              <w:t xml:space="preserve">مرفوع — غير منشور</w:t>
            </w:r>
          </w:p>
        </w:tc>
        <w:tc>
          <w:tcPr>
            <w:tcW w:type="dxa" w:w="6600"/>
            <w:shd w:fill="F1F5F9" w:color="auto" w:val="clear"/>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التعديل مرفوع على فرع Git لكنه لم يُنشر على السيرفر بعد — العملاء لا يرونه.</w:t>
            </w:r>
          </w:p>
        </w:tc>
      </w:tr>
      <w:tr>
        <w:tc>
          <w:tcPr>
            <w:tcW w:type="dxa" w:w="2400"/>
            <w:shd w:fill="F1F5F9" w:color="auto" w:val="clear"/>
            <w:tcMar>
              <w:top w:type="dxa" w:w="90"/>
              <w:left w:type="dxa" w:w="110"/>
              <w:bottom w:type="dxa" w:w="90"/>
              <w:right w:type="dxa" w:w="110"/>
            </w:tcMar>
          </w:tcPr>
          <w:p>
            <w:pPr>
              <w:bidi/>
              <w:spacing w:after="0" w:line="280"/>
              <w:jc w:val="right"/>
            </w:pPr>
            <w:r>
              <w:rPr>
                <w:rFonts w:ascii="Arial" w:cs="Arial" w:eastAsia="Arial" w:hAnsi="Arial"/>
                <w:b/>
                <w:bCs/>
                <w:color w:val="64748B"/>
                <w:sz w:val="19"/>
                <w:szCs w:val="19"/>
                <w:rtl/>
              </w:rPr>
              <w:t xml:space="preserve">قيد التطوير</w:t>
            </w:r>
          </w:p>
        </w:tc>
        <w:tc>
          <w:tcPr>
            <w:tcW w:type="dxa" w:w="66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التعديل في مجلد العمل ولم يُرفع على Git بعد.</w:t>
            </w:r>
          </w:p>
        </w:tc>
      </w:tr>
    </w:tbl>
    <w:p>
      <w:pPr>
        <w:spacing w:after="200"/>
      </w:pPr>
    </w:p>
    <w:tbl>
      <w:tblPr>
        <w:bidiVisual/>
        <w:tblW w:type="dxa" w:w="9000"/>
        <w:tblBorders>
          <w:top w:val="single" w:color="B45309" w:sz="4"/>
          <w:left w:val="single" w:color="B45309" w:sz="4"/>
          <w:bottom w:val="single" w:color="B45309" w:sz="4"/>
          <w:right w:val="single" w:color="B45309" w:sz="18"/>
          <w:insideH w:val="none"/>
          <w:insideV w:val="none"/>
        </w:tblBorders>
      </w:tblPr>
      <w:tblGrid>
        <w:gridCol w:w="9000"/>
      </w:tblGrid>
      <w:tr>
        <w:tc>
          <w:tcPr>
            <w:tcW w:type="dxa" w:w="9000"/>
            <w:shd w:fill="FFFBEB" w:color="auto" w:val="clear"/>
            <w:tcMar>
              <w:top w:type="dxa" w:w="140"/>
              <w:left w:type="dxa" w:w="160"/>
              <w:bottom w:type="dxa" w:w="140"/>
              <w:right w:type="dxa" w:w="160"/>
            </w:tcMar>
          </w:tcPr>
          <w:p>
            <w:pPr>
              <w:bidi/>
              <w:spacing w:after="90"/>
              <w:jc w:val="right"/>
            </w:pPr>
            <w:r>
              <w:rPr>
                <w:rFonts w:ascii="Arial" w:cs="Arial" w:eastAsia="Arial" w:hAnsi="Arial"/>
                <w:b/>
                <w:bCs/>
                <w:color w:val="B45309"/>
                <w:sz w:val="21"/>
                <w:szCs w:val="21"/>
                <w:rtl/>
              </w:rPr>
              <w:t xml:space="preserve">حالة النشر الآن</w:t>
            </w:r>
          </w:p>
          <w:p>
            <w:pPr>
              <w:bidi/>
              <w:spacing w:after="60" w:line="290"/>
              <w:jc w:val="right"/>
            </w:pPr>
            <w:r>
              <w:rPr>
                <w:rFonts w:ascii="Arial" w:cs="Arial" w:eastAsia="Arial" w:hAnsi="Arial"/>
                <w:color w:val="1E293B"/>
                <w:sz w:val="20"/>
                <w:szCs w:val="20"/>
                <w:rtl/>
              </w:rPr>
              <w:t xml:space="preserve">البناء المنشور على الإنتاج: 06e4f0fa-ddab-4ae4-8ad8-f853c3466c95</w:t>
            </w:r>
          </w:p>
          <w:p>
            <w:pPr>
              <w:bidi/>
              <w:spacing w:after="60" w:line="290"/>
              <w:jc w:val="right"/>
            </w:pPr>
            <w:r>
              <w:rPr>
                <w:rFonts w:ascii="Arial" w:cs="Arial" w:eastAsia="Arial" w:hAnsi="Arial"/>
                <w:color w:val="1E293B"/>
                <w:sz w:val="20"/>
                <w:szCs w:val="20"/>
                <w:rtl/>
              </w:rPr>
              <w:t xml:space="preserve">يوجد 1 تعديل مرفوع على الفرع ولم يُنشر بعد — مبيّن في الجدول أعلاه.</w:t>
            </w:r>
          </w:p>
          <w:p>
            <w:pPr>
              <w:bidi/>
              <w:spacing w:after="60" w:line="290"/>
              <w:jc w:val="right"/>
            </w:pPr>
            <w:r>
              <w:rPr>
                <w:rFonts w:ascii="Arial" w:cs="Arial" w:eastAsia="Arial" w:hAnsi="Arial"/>
                <w:color w:val="1E293B"/>
                <w:sz w:val="20"/>
                <w:szCs w:val="20"/>
                <w:rtl/>
              </w:rPr>
              <w:t xml:space="preserve">قاعدة العمل المتفق عليها: الرفع على فرع Git يتم مباشرة، أما النشر على السيرفر فلا يتم إلا بطلب صريح.</w:t>
            </w:r>
          </w:p>
        </w:tc>
      </w:tr>
    </w:tbl>
    <w:p>
      <w:r>
        <w:br w:type="page"/>
      </w:r>
    </w:p>
    <w:p>
      <w:pPr>
        <w:pStyle w:val="Heading1"/>
        <w:pBdr>
          <w:bottom w:val="single" w:color="2563EB" w:sz="12" w:space="6"/>
        </w:pBdr>
        <w:bidi/>
        <w:spacing w:after="160" w:before="360"/>
        <w:jc w:val="right"/>
      </w:pPr>
      <w:r>
        <w:rPr>
          <w:rFonts w:ascii="Arial" w:cs="Arial" w:eastAsia="Arial" w:hAnsi="Arial"/>
          <w:b/>
          <w:bCs/>
          <w:color w:val="2563EB"/>
          <w:sz w:val="30"/>
          <w:szCs w:val="30"/>
          <w:rtl/>
        </w:rPr>
        <w:t xml:space="preserve">تفاصيل التعديلات</w:t>
      </w:r>
    </w:p>
    <w:p>
      <w:pPr>
        <w:pStyle w:val="Heading2"/>
        <w:bidi/>
        <w:spacing w:after="120" w:before="300"/>
        <w:jc w:val="right"/>
      </w:pPr>
      <w:r>
        <w:rPr>
          <w:rFonts w:ascii="Arial" w:cs="Arial" w:eastAsia="Arial" w:hAnsi="Arial"/>
          <w:b/>
          <w:bCs/>
          <w:color w:val="1E293B"/>
          <w:sz w:val="24"/>
          <w:szCs w:val="24"/>
          <w:rtl/>
        </w:rPr>
        <w:t xml:space="preserve">تعديل رقم 6 — إعادة تصميم شريط الفهرسة على هيئة مسطرة تظهر عند الاقتراب</w:t>
      </w:r>
    </w:p>
    <w:p>
      <w:pPr>
        <w:spacing w:after="5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1250"/>
        <w:gridCol w:w="1250"/>
        <w:gridCol w:w="1150"/>
        <w:gridCol w:w="2500"/>
        <w:gridCol w:w="1350"/>
        <w:gridCol w:w="1500"/>
      </w:tblGrid>
      <w:tr>
        <w:trPr>
          <w:tblHeader/>
        </w:trPr>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1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المسار</w:t>
            </w:r>
          </w:p>
        </w:tc>
        <w:tc>
          <w:tcPr>
            <w:tcW w:type="dxa" w:w="2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الملف</w:t>
            </w:r>
          </w:p>
        </w:tc>
        <w:tc>
          <w:tcPr>
            <w:tcW w:type="dxa" w:w="13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الكوميت</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صندوق الوارد</w:t>
            </w:r>
          </w:p>
        </w:tc>
        <w:tc>
          <w:tcPr>
            <w:tcW w:type="dxa" w:w="11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/inbox</w:t>
            </w:r>
          </w:p>
        </w:tc>
        <w:tc>
          <w:tcPr>
            <w:tcW w:type="dxa" w:w="2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src/components/inbox/SessionRail.tsx · src/pages/Inbox.tsx</w:t>
            </w:r>
          </w:p>
        </w:tc>
        <w:tc>
          <w:tcPr>
            <w:tcW w:type="dxa" w:w="13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w:t>
            </w:r>
          </w:p>
        </w:tc>
        <w:tc>
          <w:tcPr>
            <w:tcW w:type="dxa" w:w="1500"/>
            <w:shd w:fill="FFFBEB" w:color="auto" w:val="clear"/>
            <w:tcMar>
              <w:top w:type="dxa" w:w="90"/>
              <w:left w:type="dxa" w:w="110"/>
              <w:bottom w:type="dxa" w:w="90"/>
              <w:right w:type="dxa" w:w="110"/>
            </w:tcMar>
          </w:tcPr>
          <w:p>
            <w:pPr>
              <w:bidi/>
              <w:spacing w:after="0" w:line="280"/>
              <w:jc w:val="right"/>
            </w:pPr>
            <w:r>
              <w:rPr>
                <w:rFonts w:ascii="Arial" w:cs="Arial" w:eastAsia="Arial" w:hAnsi="Arial"/>
                <w:b/>
                <w:bCs/>
                <w:color w:val="B45309"/>
                <w:sz w:val="19"/>
                <w:szCs w:val="19"/>
                <w:rtl/>
              </w:rPr>
              <w:t xml:space="preserve">مرفوع — غير منشور</w:t>
            </w:r>
          </w:p>
        </w:tc>
      </w:tr>
    </w:tbl>
    <w:p>
      <w:pPr>
        <w:spacing w:after="90"/>
      </w:pPr>
    </w:p>
    <w:p>
      <w:pPr>
        <w:pStyle w:val="ListParagraph"/>
        <w:numPr>
          <w:ilvl w:val="0"/>
          <w:numId w:val="2"/>
        </w:numPr>
        <w:bidi/>
        <w:spacing w:after="70" w:line="290"/>
        <w:jc w:val="right"/>
      </w:pPr>
      <w:r>
        <w:rPr>
          <w:rFonts w:ascii="Arial" w:cs="Arial" w:eastAsia="Arial" w:hAnsi="Arial"/>
          <w:color w:val="1E293B"/>
          <w:sz w:val="21"/>
          <w:szCs w:val="21"/>
          <w:rtl/>
        </w:rPr>
        <w:t xml:space="preserve">الشكل السابق كان كتلاً سميكة بينها فجوات، فكان يُقرأ كشريط تقدّم مكسور لا كأداة تنقّل. صار الآن مسطرة: خطّ شعري على حافة الثريد وعليه علامات رفيعة عند بدايات الدورات.</w:t>
      </w:r>
    </w:p>
    <w:p>
      <w:pPr>
        <w:pStyle w:val="ListParagraph"/>
        <w:numPr>
          <w:ilvl w:val="0"/>
          <w:numId w:val="2"/>
        </w:numPr>
        <w:bidi/>
        <w:spacing w:after="70" w:line="290"/>
        <w:jc w:val="right"/>
      </w:pPr>
      <w:r>
        <w:rPr>
          <w:rFonts w:ascii="Arial" w:cs="Arial" w:eastAsia="Arial" w:hAnsi="Arial"/>
          <w:color w:val="1E293B"/>
          <w:sz w:val="21"/>
          <w:szCs w:val="21"/>
          <w:rtl/>
        </w:rPr>
        <w:t xml:space="preserve">العلامة صارت تقع في موضعها النسبي الحقيقي من ارتفاع التمرير — تُقاس من موضع أول رسالة في الدورة داخل الثريد — فصار الشريط خريطة فعلية للمحادثة لا مجرد قائمة مرتّبة.</w:t>
      </w:r>
    </w:p>
    <w:p>
      <w:pPr>
        <w:pStyle w:val="ListParagraph"/>
        <w:numPr>
          <w:ilvl w:val="0"/>
          <w:numId w:val="2"/>
        </w:numPr>
        <w:bidi/>
        <w:spacing w:after="70" w:line="290"/>
        <w:jc w:val="right"/>
      </w:pPr>
      <w:r>
        <w:rPr>
          <w:rFonts w:ascii="Arial" w:cs="Arial" w:eastAsia="Arial" w:hAnsi="Arial"/>
          <w:color w:val="1E293B"/>
          <w:sz w:val="21"/>
          <w:szCs w:val="21"/>
          <w:rtl/>
        </w:rPr>
        <w:t xml:space="preserve">القياس يُعاد عند تغيير المحادثة أو وصول رسالة، ويُراقَب تغيّر حجم اللوحة بـ ResizeObserver حتى لا تصير المواضع قديمة عند طيّ لوحة التفاصيل أو تغيير حجم النافذة.</w:t>
      </w:r>
    </w:p>
    <w:p>
      <w:pPr>
        <w:pStyle w:val="ListParagraph"/>
        <w:numPr>
          <w:ilvl w:val="0"/>
          <w:numId w:val="2"/>
        </w:numPr>
        <w:bidi/>
        <w:spacing w:after="70" w:line="290"/>
        <w:jc w:val="right"/>
      </w:pPr>
      <w:r>
        <w:rPr>
          <w:rFonts w:ascii="Arial" w:cs="Arial" w:eastAsia="Arial" w:hAnsi="Arial"/>
          <w:color w:val="1E293B"/>
          <w:sz w:val="21"/>
          <w:szCs w:val="21"/>
          <w:rtl/>
        </w:rPr>
        <w:t xml:space="preserve">المسطرة باهتة في الوضع العادي وتتوضّح بالكامل عند اقتراب المؤشر من الحافة أو عند وصول لوحة المفاتيح إليها.</w:t>
      </w:r>
    </w:p>
    <w:p>
      <w:pPr>
        <w:pStyle w:val="ListParagraph"/>
        <w:numPr>
          <w:ilvl w:val="0"/>
          <w:numId w:val="2"/>
        </w:numPr>
        <w:bidi/>
        <w:spacing w:after="70" w:line="290"/>
        <w:jc w:val="right"/>
      </w:pPr>
      <w:r>
        <w:rPr>
          <w:rFonts w:ascii="Arial" w:cs="Arial" w:eastAsia="Arial" w:hAnsi="Arial"/>
          <w:color w:val="1E293B"/>
          <w:sz w:val="21"/>
          <w:szCs w:val="21"/>
          <w:rtl/>
        </w:rPr>
        <w:t xml:space="preserve">أُبقي أثر خافت دائم بدل الإخفاء التام: ميزة لا يدل عليها شيء لا يعرفها أحد، والإخفاء الكامل كان سيجعلها غير قابلة للاكتشاف.</w:t>
      </w:r>
    </w:p>
    <w:p>
      <w:pPr>
        <w:pStyle w:val="ListParagraph"/>
        <w:numPr>
          <w:ilvl w:val="0"/>
          <w:numId w:val="2"/>
        </w:numPr>
        <w:bidi/>
        <w:spacing w:after="70" w:line="290"/>
        <w:jc w:val="right"/>
      </w:pPr>
      <w:r>
        <w:rPr>
          <w:rFonts w:ascii="Arial" w:cs="Arial" w:eastAsia="Arial" w:hAnsi="Arial"/>
          <w:color w:val="1E293B"/>
          <w:sz w:val="21"/>
          <w:szCs w:val="21"/>
          <w:rtl/>
        </w:rPr>
        <w:t xml:space="preserve">صارت طبقة عائمة (overlay) بدل عمود يحجز عرضاً ثابتاً، فرجع نحو 36 بكسل لمساحة الرسائل.</w:t>
      </w:r>
    </w:p>
    <w:p>
      <w:pPr>
        <w:pStyle w:val="ListParagraph"/>
        <w:numPr>
          <w:ilvl w:val="0"/>
          <w:numId w:val="2"/>
        </w:numPr>
        <w:bidi/>
        <w:spacing w:after="70" w:line="290"/>
        <w:jc w:val="right"/>
      </w:pPr>
      <w:r>
        <w:rPr>
          <w:rFonts w:ascii="Arial" w:cs="Arial" w:eastAsia="Arial" w:hAnsi="Arial"/>
          <w:color w:val="1E293B"/>
          <w:sz w:val="21"/>
          <w:szCs w:val="21"/>
          <w:rtl/>
        </w:rPr>
        <w:t xml:space="preserve">وُضعت بعد شريط التمرير بمقدار 8 بكسل حتى لا تحجب سحبه.</w:t>
      </w:r>
    </w:p>
    <w:p>
      <w:pPr>
        <w:pStyle w:val="ListParagraph"/>
        <w:numPr>
          <w:ilvl w:val="0"/>
          <w:numId w:val="2"/>
        </w:numPr>
        <w:bidi/>
        <w:spacing w:after="70" w:line="290"/>
        <w:jc w:val="right"/>
      </w:pPr>
      <w:r>
        <w:rPr>
          <w:rFonts w:ascii="Arial" w:cs="Arial" w:eastAsia="Arial" w:hAnsi="Arial"/>
          <w:color w:val="1E293B"/>
          <w:sz w:val="21"/>
          <w:szCs w:val="21"/>
          <w:rtl/>
        </w:rPr>
        <w:t xml:space="preserve">التمييز بين المؤكَّد والمقدَّر بقي قائماً بصرياً: علامة متصلة للدورة المسجّلة، ومتقطّعة للمستنتَجة، مع بقاء «بداية تقديرية» في التلميح.</w:t>
      </w:r>
    </w:p>
    <w:p>
      <w:pPr>
        <w:pStyle w:val="ListParagraph"/>
        <w:numPr>
          <w:ilvl w:val="0"/>
          <w:numId w:val="2"/>
        </w:numPr>
        <w:bidi/>
        <w:spacing w:after="70" w:line="290"/>
        <w:jc w:val="right"/>
      </w:pPr>
      <w:r>
        <w:rPr>
          <w:rFonts w:ascii="Arial" w:cs="Arial" w:eastAsia="Arial" w:hAnsi="Arial"/>
          <w:color w:val="1E293B"/>
          <w:sz w:val="21"/>
          <w:szCs w:val="21"/>
          <w:rtl/>
        </w:rPr>
        <w:t xml:space="preserve">تنازل مقصود: الشكل السابق كان يعبّر عن حجم كل دورة بارتفاعها، والمسطرة لا تفعل. حجم الدورة انتقل إلى التلميح، لأن المطلوب الأساسي هو موضع بداية الدورة لا حجمها.</w:t>
      </w:r>
    </w:p>
    <w:p>
      <w:pPr>
        <w:pStyle w:val="ListParagraph"/>
        <w:numPr>
          <w:ilvl w:val="0"/>
          <w:numId w:val="2"/>
        </w:numPr>
        <w:bidi/>
        <w:spacing w:after="70" w:line="290"/>
        <w:jc w:val="right"/>
      </w:pPr>
      <w:r>
        <w:rPr>
          <w:rFonts w:ascii="Arial" w:cs="Arial" w:eastAsia="Arial" w:hAnsi="Arial"/>
          <w:color w:val="1E293B"/>
          <w:sz w:val="21"/>
          <w:szCs w:val="21"/>
          <w:rtl/>
        </w:rPr>
        <w:t xml:space="preserve">عوينت النتيجة في المتصفح: العلامات الثلاث ظهرت في مواضع غير متساوية تطابق مواضع التمرير الفعلية، والتوضّح بالاقتراب والتلميح والانتقال تعمل.</w:t>
      </w:r>
    </w:p>
    <w:p>
      <w:pPr>
        <w:spacing w:after="160"/>
      </w:pPr>
    </w:p>
    <w:p>
      <w:pPr>
        <w:pStyle w:val="Heading2"/>
        <w:bidi/>
        <w:spacing w:after="120" w:before="300"/>
        <w:jc w:val="right"/>
      </w:pPr>
      <w:r>
        <w:rPr>
          <w:rFonts w:ascii="Arial" w:cs="Arial" w:eastAsia="Arial" w:hAnsi="Arial"/>
          <w:b/>
          <w:bCs/>
          <w:color w:val="1E293B"/>
          <w:sz w:val="24"/>
          <w:szCs w:val="24"/>
          <w:rtl/>
        </w:rPr>
        <w:t xml:space="preserve">تعديل رقم 5 — شريط فهرسة دورات المحادثة داخل الثريد</w:t>
      </w:r>
    </w:p>
    <w:p>
      <w:pPr>
        <w:spacing w:after="5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1250"/>
        <w:gridCol w:w="1250"/>
        <w:gridCol w:w="1150"/>
        <w:gridCol w:w="2500"/>
        <w:gridCol w:w="1350"/>
        <w:gridCol w:w="1500"/>
      </w:tblGrid>
      <w:tr>
        <w:trPr>
          <w:tblHeader/>
        </w:trPr>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1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المسار</w:t>
            </w:r>
          </w:p>
        </w:tc>
        <w:tc>
          <w:tcPr>
            <w:tcW w:type="dxa" w:w="2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الملف</w:t>
            </w:r>
          </w:p>
        </w:tc>
        <w:tc>
          <w:tcPr>
            <w:tcW w:type="dxa" w:w="13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الكوميت</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صندوق الوارد</w:t>
            </w:r>
          </w:p>
        </w:tc>
        <w:tc>
          <w:tcPr>
            <w:tcW w:type="dxa" w:w="11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/inbox</w:t>
            </w:r>
          </w:p>
        </w:tc>
        <w:tc>
          <w:tcPr>
            <w:tcW w:type="dxa" w:w="2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src/components/inbox/SessionRail.tsx · src/pages/Inbox.tsx · src/store/mockData.ts</w:t>
            </w:r>
          </w:p>
        </w:tc>
        <w:tc>
          <w:tcPr>
            <w:tcW w:type="dxa" w:w="13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e05e715</w:t>
            </w:r>
          </w:p>
        </w:tc>
        <w:tc>
          <w:tcPr>
            <w:tcW w:type="dxa" w:w="15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bl>
    <w:p>
      <w:pPr>
        <w:spacing w:after="90"/>
      </w:pPr>
    </w:p>
    <w:p>
      <w:pPr>
        <w:pStyle w:val="ListParagraph"/>
        <w:numPr>
          <w:ilvl w:val="0"/>
          <w:numId w:val="2"/>
        </w:numPr>
        <w:bidi/>
        <w:spacing w:after="70" w:line="290"/>
        <w:jc w:val="right"/>
      </w:pPr>
      <w:r>
        <w:rPr>
          <w:rFonts w:ascii="Arial" w:cs="Arial" w:eastAsia="Arial" w:hAnsi="Arial"/>
          <w:color w:val="1E293B"/>
          <w:sz w:val="21"/>
          <w:szCs w:val="21"/>
          <w:rtl/>
        </w:rPr>
        <w:t xml:space="preserve">شريط رأسي على حافة الثريد يقسّمه إلى دورات فتح وإغلاق، ليصل الموظف إلى بداية أي دورة في المحادثات الطويلة التي تُعاد فتحها مراراً.</w:t>
      </w:r>
    </w:p>
    <w:p>
      <w:pPr>
        <w:pStyle w:val="ListParagraph"/>
        <w:numPr>
          <w:ilvl w:val="0"/>
          <w:numId w:val="2"/>
        </w:numPr>
        <w:bidi/>
        <w:spacing w:after="70" w:line="290"/>
        <w:jc w:val="right"/>
      </w:pPr>
      <w:r>
        <w:rPr>
          <w:rFonts w:ascii="Arial" w:cs="Arial" w:eastAsia="Arial" w:hAnsi="Arial"/>
          <w:color w:val="1E293B"/>
          <w:sz w:val="21"/>
          <w:szCs w:val="21"/>
          <w:rtl/>
        </w:rPr>
        <w:t xml:space="preserve">ارتفاع كل مقطع يتناسب مع عدد رسائله، فيعطي إحساساً بحجم كل دورة قبل الدخول إليها.</w:t>
      </w:r>
    </w:p>
    <w:p>
      <w:pPr>
        <w:pStyle w:val="ListParagraph"/>
        <w:numPr>
          <w:ilvl w:val="0"/>
          <w:numId w:val="2"/>
        </w:numPr>
        <w:bidi/>
        <w:spacing w:after="70" w:line="290"/>
        <w:jc w:val="right"/>
      </w:pPr>
      <w:r>
        <w:rPr>
          <w:rFonts w:ascii="Arial" w:cs="Arial" w:eastAsia="Arial" w:hAnsi="Arial"/>
          <w:color w:val="1E293B"/>
          <w:sz w:val="21"/>
          <w:szCs w:val="21"/>
          <w:rtl/>
        </w:rPr>
        <w:t xml:space="preserve">المرور على المقطع يُظهر اليوم والتاريخ وعدد الرسائل — «اليوم» و«أمس» لما قرُب، واسم اليوم لما بعُد.</w:t>
      </w:r>
    </w:p>
    <w:p>
      <w:pPr>
        <w:pStyle w:val="ListParagraph"/>
        <w:numPr>
          <w:ilvl w:val="0"/>
          <w:numId w:val="2"/>
        </w:numPr>
        <w:bidi/>
        <w:spacing w:after="70" w:line="290"/>
        <w:jc w:val="right"/>
      </w:pPr>
      <w:r>
        <w:rPr>
          <w:rFonts w:ascii="Arial" w:cs="Arial" w:eastAsia="Arial" w:hAnsi="Arial"/>
          <w:color w:val="1E293B"/>
          <w:sz w:val="21"/>
          <w:szCs w:val="21"/>
          <w:rtl/>
        </w:rPr>
        <w:t xml:space="preserve">الضغط ينقل إلى أول رسالة في الدورة، والمقطع الذي يقابل موضع القراءة الحالي يُبرَز تلقائياً أثناء التمرير.</w:t>
      </w:r>
    </w:p>
    <w:p>
      <w:pPr>
        <w:pStyle w:val="ListParagraph"/>
        <w:numPr>
          <w:ilvl w:val="0"/>
          <w:numId w:val="2"/>
        </w:numPr>
        <w:bidi/>
        <w:spacing w:after="70" w:line="290"/>
        <w:jc w:val="right"/>
      </w:pPr>
      <w:r>
        <w:rPr>
          <w:rFonts w:ascii="Arial" w:cs="Arial" w:eastAsia="Arial" w:hAnsi="Arial"/>
          <w:color w:val="1E293B"/>
          <w:sz w:val="21"/>
          <w:szCs w:val="21"/>
          <w:rtl/>
        </w:rPr>
        <w:t xml:space="preserve">المقاطع ذات البداية المستنتجة تُعرض بحدّ متقطّع ويذكر التلميح «بداية تقديرية»، فيبقى الفرق بين المؤكَّد والمقدَّر ظاهراً للموظف لا مخفياً عنه.</w:t>
      </w:r>
    </w:p>
    <w:p>
      <w:pPr>
        <w:pStyle w:val="ListParagraph"/>
        <w:numPr>
          <w:ilvl w:val="0"/>
          <w:numId w:val="2"/>
        </w:numPr>
        <w:bidi/>
        <w:spacing w:after="70" w:line="290"/>
        <w:jc w:val="right"/>
      </w:pPr>
      <w:r>
        <w:rPr>
          <w:rFonts w:ascii="Arial" w:cs="Arial" w:eastAsia="Arial" w:hAnsi="Arial"/>
          <w:color w:val="1E293B"/>
          <w:sz w:val="21"/>
          <w:szCs w:val="21"/>
          <w:rtl/>
        </w:rPr>
        <w:t xml:space="preserve">الشريط يختفي كلياً حين تكون المحادثة دورة واحدة، فلا معنى لفهرس لا يفهرس شيئاً.</w:t>
      </w:r>
    </w:p>
    <w:p>
      <w:pPr>
        <w:pStyle w:val="ListParagraph"/>
        <w:numPr>
          <w:ilvl w:val="0"/>
          <w:numId w:val="2"/>
        </w:numPr>
        <w:bidi/>
        <w:spacing w:after="70" w:line="290"/>
        <w:jc w:val="right"/>
      </w:pPr>
      <w:r>
        <w:rPr>
          <w:rFonts w:ascii="Arial" w:cs="Arial" w:eastAsia="Arial" w:hAnsi="Arial"/>
          <w:color w:val="1E293B"/>
          <w:sz w:val="21"/>
          <w:szCs w:val="21"/>
          <w:rtl/>
        </w:rPr>
        <w:t xml:space="preserve">الدورات الخالية من الرسائل مستبعدة من الشريط بقرار مقصود — لا شيء يمكن الانتقال إليه فيها.</w:t>
      </w:r>
    </w:p>
    <w:p>
      <w:pPr>
        <w:pStyle w:val="ListParagraph"/>
        <w:numPr>
          <w:ilvl w:val="0"/>
          <w:numId w:val="2"/>
        </w:numPr>
        <w:bidi/>
        <w:spacing w:after="70" w:line="290"/>
        <w:jc w:val="right"/>
      </w:pPr>
      <w:r>
        <w:rPr>
          <w:rFonts w:ascii="Arial" w:cs="Arial" w:eastAsia="Arial" w:hAnsi="Arial"/>
          <w:color w:val="1E293B"/>
          <w:sz w:val="21"/>
          <w:szCs w:val="21"/>
          <w:rtl/>
        </w:rPr>
        <w:t xml:space="preserve">وُزّعت رسائل محادثة أحمد الشعيلي التجريبية على ثلاث دورات عبر ثلاثة أشهر لتصير الميزة قابلة للمعاينة، وصار sessionCount فيها مطابقاً للواقع بعد أن كان رقماً مكتوباً بلا سند. آخر دورة مسجّلة بحدث حقيقي وما قبلها مستنتج، ليظهر الشكلان معاً.</w:t>
      </w:r>
    </w:p>
    <w:p>
      <w:pPr>
        <w:pStyle w:val="ListParagraph"/>
        <w:numPr>
          <w:ilvl w:val="0"/>
          <w:numId w:val="2"/>
        </w:numPr>
        <w:bidi/>
        <w:spacing w:after="70" w:line="290"/>
        <w:jc w:val="right"/>
      </w:pPr>
      <w:r>
        <w:rPr>
          <w:rFonts w:ascii="Arial" w:cs="Arial" w:eastAsia="Arial" w:hAnsi="Arial"/>
          <w:color w:val="1E293B"/>
          <w:sz w:val="21"/>
          <w:szCs w:val="21"/>
          <w:rtl/>
        </w:rPr>
        <w:t xml:space="preserve">عوينت النتيجة في المتصفح: الشريط والتلميح والانتقال والإبراز تعمل في الوضعين الفاتح والليلي، والمحادثات أحادية الدورة سليمة بلا شريط.</w:t>
      </w:r>
    </w:p>
    <w:p>
      <w:pPr>
        <w:spacing w:after="160"/>
      </w:pPr>
    </w:p>
    <w:p>
      <w:pPr>
        <w:pStyle w:val="Heading2"/>
        <w:bidi/>
        <w:spacing w:after="120" w:before="300"/>
        <w:jc w:val="right"/>
      </w:pPr>
      <w:r>
        <w:rPr>
          <w:rFonts w:ascii="Arial" w:cs="Arial" w:eastAsia="Arial" w:hAnsi="Arial"/>
          <w:b/>
          <w:bCs/>
          <w:color w:val="1E293B"/>
          <w:sz w:val="24"/>
          <w:szCs w:val="24"/>
          <w:rtl/>
        </w:rPr>
        <w:t xml:space="preserve">تعديل رقم 4 — تسجيل دورات المحادثة واشتقاقها — أساس شريط فهرسة الثريد</w:t>
      </w:r>
    </w:p>
    <w:p>
      <w:pPr>
        <w:spacing w:after="5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1250"/>
        <w:gridCol w:w="1250"/>
        <w:gridCol w:w="1150"/>
        <w:gridCol w:w="2500"/>
        <w:gridCol w:w="1350"/>
        <w:gridCol w:w="1500"/>
      </w:tblGrid>
      <w:tr>
        <w:trPr>
          <w:tblHeader/>
        </w:trPr>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1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المسار</w:t>
            </w:r>
          </w:p>
        </w:tc>
        <w:tc>
          <w:tcPr>
            <w:tcW w:type="dxa" w:w="2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الملف</w:t>
            </w:r>
          </w:p>
        </w:tc>
        <w:tc>
          <w:tcPr>
            <w:tcW w:type="dxa" w:w="13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الكوميت</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صندوق الوارد (طبقة البيانات)</w:t>
            </w:r>
          </w:p>
        </w:tc>
        <w:tc>
          <w:tcPr>
            <w:tcW w:type="dxa" w:w="11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/inbox</w:t>
            </w:r>
          </w:p>
        </w:tc>
        <w:tc>
          <w:tcPr>
            <w:tcW w:type="dxa" w:w="2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src/utils/sessions.ts · src/store/useDataStore.ts · src/types/index.ts</w:t>
            </w:r>
          </w:p>
        </w:tc>
        <w:tc>
          <w:tcPr>
            <w:tcW w:type="dxa" w:w="13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5cf29e1</w:t>
            </w:r>
          </w:p>
        </w:tc>
        <w:tc>
          <w:tcPr>
            <w:tcW w:type="dxa" w:w="15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bl>
    <w:p>
      <w:pPr>
        <w:spacing w:after="90"/>
      </w:pPr>
    </w:p>
    <w:p>
      <w:pPr>
        <w:pStyle w:val="ListParagraph"/>
        <w:numPr>
          <w:ilvl w:val="0"/>
          <w:numId w:val="2"/>
        </w:numPr>
        <w:bidi/>
        <w:spacing w:after="70" w:line="290"/>
        <w:jc w:val="right"/>
      </w:pPr>
      <w:r>
        <w:rPr>
          <w:rFonts w:ascii="Arial" w:cs="Arial" w:eastAsia="Arial" w:hAnsi="Arial"/>
          <w:color w:val="1E293B"/>
          <w:sz w:val="21"/>
          <w:szCs w:val="21"/>
          <w:rtl/>
        </w:rPr>
        <w:t xml:space="preserve">المشكلة: المحادثة الواحدة تُعاد فتحها كلما راسل العميل بعد الإغلاق، فيصير الثريد بلا نهاية. ولرسم شريط فهرسة يقسّمه إلى دورات، لزم معرفة توقيت كل فتح وإغلاق — وهي بيانات لم تكن تُسجَّل إطلاقاً.</w:t>
      </w:r>
    </w:p>
    <w:p>
      <w:pPr>
        <w:pStyle w:val="ListParagraph"/>
        <w:numPr>
          <w:ilvl w:val="0"/>
          <w:numId w:val="2"/>
        </w:numPr>
        <w:bidi/>
        <w:spacing w:after="70" w:line="290"/>
        <w:jc w:val="right"/>
      </w:pPr>
      <w:r>
        <w:rPr>
          <w:rFonts w:ascii="Arial" w:cs="Arial" w:eastAsia="Arial" w:hAnsi="Arial"/>
          <w:color w:val="1E293B"/>
          <w:sz w:val="21"/>
          <w:szCs w:val="21"/>
          <w:rtl/>
        </w:rPr>
        <w:t xml:space="preserve">كان الحقل sessionCount يُكتب مرة واحدة عند الإنشاء ولا يزيده أي سطر في المشروع، وقيمه في البيانات التجريبية مكتوبة يدوياً. كذلك activityLog على المحادثة كان مُعرَّفاً في الأنواع لكن لا دالة تكتب فيه وقت التشغيل.</w:t>
      </w:r>
    </w:p>
    <w:p>
      <w:pPr>
        <w:pStyle w:val="ListParagraph"/>
        <w:numPr>
          <w:ilvl w:val="0"/>
          <w:numId w:val="2"/>
        </w:numPr>
        <w:bidi/>
        <w:spacing w:after="70" w:line="290"/>
        <w:jc w:val="right"/>
      </w:pPr>
      <w:r>
        <w:rPr>
          <w:rFonts w:ascii="Arial" w:cs="Arial" w:eastAsia="Arial" w:hAnsi="Arial"/>
          <w:color w:val="1E293B"/>
          <w:sz w:val="21"/>
          <w:szCs w:val="21"/>
          <w:rtl/>
        </w:rPr>
        <w:t xml:space="preserve">أُضيف النوع SessionEvent لتسجيل حدث فتح أو إغلاق بتوقيته وصاحبه، والنوع ConversationSession يمثّل الدورة المشتقّة.</w:t>
      </w:r>
    </w:p>
    <w:p>
      <w:pPr>
        <w:pStyle w:val="ListParagraph"/>
        <w:numPr>
          <w:ilvl w:val="0"/>
          <w:numId w:val="2"/>
        </w:numPr>
        <w:bidi/>
        <w:spacing w:after="70" w:line="290"/>
        <w:jc w:val="right"/>
      </w:pPr>
      <w:r>
        <w:rPr>
          <w:rFonts w:ascii="Arial" w:cs="Arial" w:eastAsia="Arial" w:hAnsi="Arial"/>
          <w:color w:val="1E293B"/>
          <w:sz w:val="21"/>
          <w:szCs w:val="21"/>
          <w:rtl/>
        </w:rPr>
        <w:t xml:space="preserve">صارت أربعة مواضع تسجّل الحدث فعلياً: setConversationStatus عند الإغلاق أو إعادة الفتح، reopenConversation، ورسالة العميل الواردة نصية أو صوتية حين تُحيي محادثة مغلقة — وهذا آخرها كان يمرّ بلا أي أثر رغم أنه أكثرها تكراراً.</w:t>
      </w:r>
    </w:p>
    <w:p>
      <w:pPr>
        <w:pStyle w:val="ListParagraph"/>
        <w:numPr>
          <w:ilvl w:val="0"/>
          <w:numId w:val="2"/>
        </w:numPr>
        <w:bidi/>
        <w:spacing w:after="70" w:line="290"/>
        <w:jc w:val="right"/>
      </w:pPr>
      <w:r>
        <w:rPr>
          <w:rFonts w:ascii="Arial" w:cs="Arial" w:eastAsia="Arial" w:hAnsi="Arial"/>
          <w:color w:val="1E293B"/>
          <w:sz w:val="21"/>
          <w:szCs w:val="21"/>
          <w:rtl/>
        </w:rPr>
        <w:t xml:space="preserve">أُضيفت الدالة deriveSessions التي تقسّم الثريد إلى دورات: الأحداث المسجّلة مرجع قاطع، وما سبقها من تاريخ قديم تُستنتج حدوده من فجوات الصمت (24 ساعة افتراضاً) وتُعلَّم inferred حتى يظل الفرق بين المؤكَّد والمقدَّر ظاهراً.</w:t>
      </w:r>
    </w:p>
    <w:p>
      <w:pPr>
        <w:pStyle w:val="ListParagraph"/>
        <w:numPr>
          <w:ilvl w:val="0"/>
          <w:numId w:val="2"/>
        </w:numPr>
        <w:bidi/>
        <w:spacing w:after="70" w:line="290"/>
        <w:jc w:val="right"/>
      </w:pPr>
      <w:r>
        <w:rPr>
          <w:rFonts w:ascii="Arial" w:cs="Arial" w:eastAsia="Arial" w:hAnsi="Arial"/>
          <w:color w:val="1E293B"/>
          <w:sz w:val="21"/>
          <w:szCs w:val="21"/>
          <w:rtl/>
        </w:rPr>
        <w:t xml:space="preserve">الدالة تتعامل مع الحالة المختلطة: ثريد فيه تاريخ قديم مُستنتج ودورات جديدة مسجّلة في آن واحد.</w:t>
      </w:r>
    </w:p>
    <w:p>
      <w:pPr>
        <w:pStyle w:val="ListParagraph"/>
        <w:numPr>
          <w:ilvl w:val="0"/>
          <w:numId w:val="2"/>
        </w:numPr>
        <w:bidi/>
        <w:spacing w:after="70" w:line="290"/>
        <w:jc w:val="right"/>
      </w:pPr>
      <w:r>
        <w:rPr>
          <w:rFonts w:ascii="Arial" w:cs="Arial" w:eastAsia="Arial" w:hAnsi="Arial"/>
          <w:color w:val="1E293B"/>
          <w:sz w:val="21"/>
          <w:szCs w:val="21"/>
          <w:rtl/>
        </w:rPr>
        <w:t xml:space="preserve">اختُبر المنطق على ثماني حالات شملت الثريد الفارغ والرسالة الواحدة والفجوات المتعددة والأحداث المسجّلة والحالة المختلطة والمدخلات غير المرتّبة زمنياً — جميعها نجحت.</w:t>
      </w:r>
    </w:p>
    <w:p>
      <w:pPr>
        <w:pStyle w:val="ListParagraph"/>
        <w:numPr>
          <w:ilvl w:val="0"/>
          <w:numId w:val="2"/>
        </w:numPr>
        <w:bidi/>
        <w:spacing w:after="70" w:line="290"/>
        <w:jc w:val="right"/>
      </w:pPr>
      <w:r>
        <w:rPr>
          <w:rFonts w:ascii="Arial" w:cs="Arial" w:eastAsia="Arial" w:hAnsi="Arial"/>
          <w:color w:val="1E293B"/>
          <w:sz w:val="21"/>
          <w:szCs w:val="21"/>
          <w:rtl/>
        </w:rPr>
        <w:t xml:space="preserve">ملاحظة على البيانات الحالية: كل المحادثات التجريبية تُنتج دورة واحدة لأن رسائلها متقاربة بدقائق ولا فجوات فيها. الشريط لن يُظهر تقسيماً حقيقياً قبل توفّر بيانات متباعدة زمنياً.</w:t>
      </w:r>
    </w:p>
    <w:p>
      <w:pPr>
        <w:pStyle w:val="ListParagraph"/>
        <w:numPr>
          <w:ilvl w:val="0"/>
          <w:numId w:val="2"/>
        </w:numPr>
        <w:bidi/>
        <w:spacing w:after="70" w:line="290"/>
        <w:jc w:val="right"/>
      </w:pPr>
      <w:r>
        <w:rPr>
          <w:rFonts w:ascii="Arial" w:cs="Arial" w:eastAsia="Arial" w:hAnsi="Arial"/>
          <w:color w:val="1E293B"/>
          <w:sz w:val="21"/>
          <w:szCs w:val="21"/>
          <w:rtl/>
        </w:rPr>
        <w:t xml:space="preserve">لم تُبنَ واجهة الشريط بعد — هذا التعديل يغطّي طبقة البيانات وحدها.</w:t>
      </w:r>
    </w:p>
    <w:p>
      <w:pPr>
        <w:spacing w:after="160"/>
      </w:pPr>
    </w:p>
    <w:p>
      <w:pPr>
        <w:pStyle w:val="Heading2"/>
        <w:bidi/>
        <w:spacing w:after="120" w:before="300"/>
        <w:jc w:val="right"/>
      </w:pPr>
      <w:r>
        <w:rPr>
          <w:rFonts w:ascii="Arial" w:cs="Arial" w:eastAsia="Arial" w:hAnsi="Arial"/>
          <w:b/>
          <w:bCs/>
          <w:color w:val="1E293B"/>
          <w:sz w:val="24"/>
          <w:szCs w:val="24"/>
          <w:rtl/>
        </w:rPr>
        <w:t xml:space="preserve">تعديل رقم 3 — إزالة كارت نسبة الاستجابة من صفحة تقييمات العملاء</w:t>
      </w:r>
    </w:p>
    <w:p>
      <w:pPr>
        <w:spacing w:after="5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1250"/>
        <w:gridCol w:w="1250"/>
        <w:gridCol w:w="1150"/>
        <w:gridCol w:w="2500"/>
        <w:gridCol w:w="1350"/>
        <w:gridCol w:w="1500"/>
      </w:tblGrid>
      <w:tr>
        <w:trPr>
          <w:tblHeader/>
        </w:trPr>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1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المسار</w:t>
            </w:r>
          </w:p>
        </w:tc>
        <w:tc>
          <w:tcPr>
            <w:tcW w:type="dxa" w:w="2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الملف</w:t>
            </w:r>
          </w:p>
        </w:tc>
        <w:tc>
          <w:tcPr>
            <w:tcW w:type="dxa" w:w="13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الكوميت</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10 سبتمبر 2026</w:t>
            </w:r>
          </w:p>
        </w:tc>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تقييمات العملاء</w:t>
            </w:r>
          </w:p>
        </w:tc>
        <w:tc>
          <w:tcPr>
            <w:tcW w:type="dxa" w:w="11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/rating</w:t>
            </w:r>
          </w:p>
        </w:tc>
        <w:tc>
          <w:tcPr>
            <w:tcW w:type="dxa" w:w="2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src/pages/CustomerRatings.tsx</w:t>
            </w:r>
          </w:p>
        </w:tc>
        <w:tc>
          <w:tcPr>
            <w:tcW w:type="dxa" w:w="13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cc8bd4f</w:t>
            </w:r>
          </w:p>
        </w:tc>
        <w:tc>
          <w:tcPr>
            <w:tcW w:type="dxa" w:w="15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bl>
    <w:p>
      <w:pPr>
        <w:spacing w:after="90"/>
      </w:pPr>
    </w:p>
    <w:p>
      <w:pPr>
        <w:pStyle w:val="ListParagraph"/>
        <w:numPr>
          <w:ilvl w:val="0"/>
          <w:numId w:val="2"/>
        </w:numPr>
        <w:bidi/>
        <w:spacing w:after="70" w:line="290"/>
        <w:jc w:val="right"/>
      </w:pPr>
      <w:r>
        <w:rPr>
          <w:rFonts w:ascii="Arial" w:cs="Arial" w:eastAsia="Arial" w:hAnsi="Arial"/>
          <w:color w:val="1E293B"/>
          <w:sz w:val="21"/>
          <w:szCs w:val="21"/>
          <w:rtl/>
        </w:rPr>
        <w:t xml:space="preserve">حُذف كارت «نسبة الاستجابة» بالكامل من شريط الإحصائيات — صارت 3 كروت بدل 4.</w:t>
      </w:r>
    </w:p>
    <w:p>
      <w:pPr>
        <w:pStyle w:val="ListParagraph"/>
        <w:numPr>
          <w:ilvl w:val="0"/>
          <w:numId w:val="2"/>
        </w:numPr>
        <w:bidi/>
        <w:spacing w:after="70" w:line="290"/>
        <w:jc w:val="right"/>
      </w:pPr>
      <w:r>
        <w:rPr>
          <w:rFonts w:ascii="Arial" w:cs="Arial" w:eastAsia="Arial" w:hAnsi="Arial"/>
          <w:color w:val="1E293B"/>
          <w:sz w:val="21"/>
          <w:szCs w:val="21"/>
          <w:rtl/>
        </w:rPr>
        <w:t xml:space="preserve">حُذف معه حساب responseRate لأنه لم يعد له مستهلك في الصفحة.</w:t>
      </w:r>
    </w:p>
    <w:p>
      <w:pPr>
        <w:pStyle w:val="ListParagraph"/>
        <w:numPr>
          <w:ilvl w:val="0"/>
          <w:numId w:val="2"/>
        </w:numPr>
        <w:bidi/>
        <w:spacing w:after="70" w:line="290"/>
        <w:jc w:val="right"/>
      </w:pPr>
      <w:r>
        <w:rPr>
          <w:rFonts w:ascii="Arial" w:cs="Arial" w:eastAsia="Arial" w:hAnsi="Arial"/>
          <w:color w:val="1E293B"/>
          <w:sz w:val="21"/>
          <w:szCs w:val="21"/>
          <w:rtl/>
        </w:rPr>
        <w:t xml:space="preserve">حُذف استيراد أيقونة TrendingUp لأنها كانت مستخدمة في هذا الكارت وحده.</w:t>
      </w:r>
    </w:p>
    <w:p>
      <w:pPr>
        <w:pStyle w:val="ListParagraph"/>
        <w:numPr>
          <w:ilvl w:val="0"/>
          <w:numId w:val="2"/>
        </w:numPr>
        <w:bidi/>
        <w:spacing w:after="70" w:line="290"/>
        <w:jc w:val="right"/>
      </w:pPr>
      <w:r>
        <w:rPr>
          <w:rFonts w:ascii="Arial" w:cs="Arial" w:eastAsia="Arial" w:hAnsi="Arial"/>
          <w:color w:val="1E293B"/>
          <w:sz w:val="21"/>
          <w:szCs w:val="21"/>
          <w:rtl/>
        </w:rPr>
        <w:t xml:space="preserve">عُدّلت شبكة العرض من grid-cols-2 lg:grid-cols-4 إلى grid-cols-1 sm:grid-cols-3، حتى لا يبقى كارت يتيم في سطر منفصل على الشاشات الصغيرة.</w:t>
      </w:r>
    </w:p>
    <w:p>
      <w:pPr>
        <w:pStyle w:val="ListParagraph"/>
        <w:numPr>
          <w:ilvl w:val="0"/>
          <w:numId w:val="2"/>
        </w:numPr>
        <w:bidi/>
        <w:spacing w:after="70" w:line="290"/>
        <w:jc w:val="right"/>
      </w:pPr>
      <w:r>
        <w:rPr>
          <w:rFonts w:ascii="Arial" w:cs="Arial" w:eastAsia="Arial" w:hAnsi="Arial"/>
          <w:color w:val="1E293B"/>
          <w:sz w:val="21"/>
          <w:szCs w:val="21"/>
          <w:rtl/>
        </w:rPr>
        <w:t xml:space="preserve">الكروت الباقية: متوسط تقييم المحادثة، متوسط تقييم الموظفين، إجمالي الروابط.</w:t>
      </w:r>
    </w:p>
    <w:p>
      <w:pPr>
        <w:spacing w:after="160"/>
      </w:pPr>
    </w:p>
    <w:p>
      <w:pPr>
        <w:pStyle w:val="Heading2"/>
        <w:bidi/>
        <w:spacing w:after="120" w:before="300"/>
        <w:jc w:val="right"/>
      </w:pPr>
      <w:r>
        <w:rPr>
          <w:rFonts w:ascii="Arial" w:cs="Arial" w:eastAsia="Arial" w:hAnsi="Arial"/>
          <w:b/>
          <w:bCs/>
          <w:color w:val="1E293B"/>
          <w:sz w:val="24"/>
          <w:szCs w:val="24"/>
          <w:rtl/>
        </w:rPr>
        <w:t xml:space="preserve">تعديل رقم 2 — تغيير تسمية زر الترقية في صفحة الفوترة</w:t>
      </w:r>
    </w:p>
    <w:p>
      <w:pPr>
        <w:spacing w:after="5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1250"/>
        <w:gridCol w:w="1250"/>
        <w:gridCol w:w="1150"/>
        <w:gridCol w:w="2500"/>
        <w:gridCol w:w="1350"/>
        <w:gridCol w:w="1500"/>
      </w:tblGrid>
      <w:tr>
        <w:trPr>
          <w:tblHeader/>
        </w:trPr>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1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المسار</w:t>
            </w:r>
          </w:p>
        </w:tc>
        <w:tc>
          <w:tcPr>
            <w:tcW w:type="dxa" w:w="2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الملف</w:t>
            </w:r>
          </w:p>
        </w:tc>
        <w:tc>
          <w:tcPr>
            <w:tcW w:type="dxa" w:w="13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الكوميت</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9 سبتمبر 2026</w:t>
            </w:r>
          </w:p>
        </w:tc>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الفوترة</w:t>
            </w:r>
          </w:p>
        </w:tc>
        <w:tc>
          <w:tcPr>
            <w:tcW w:type="dxa" w:w="11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/billing</w:t>
            </w:r>
          </w:p>
        </w:tc>
        <w:tc>
          <w:tcPr>
            <w:tcW w:type="dxa" w:w="2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src/pages/Billing.tsx</w:t>
            </w:r>
          </w:p>
        </w:tc>
        <w:tc>
          <w:tcPr>
            <w:tcW w:type="dxa" w:w="13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be5b3c0</w:t>
            </w:r>
          </w:p>
        </w:tc>
        <w:tc>
          <w:tcPr>
            <w:tcW w:type="dxa" w:w="15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bl>
    <w:p>
      <w:pPr>
        <w:spacing w:after="90"/>
      </w:pPr>
    </w:p>
    <w:p>
      <w:pPr>
        <w:pStyle w:val="ListParagraph"/>
        <w:numPr>
          <w:ilvl w:val="0"/>
          <w:numId w:val="2"/>
        </w:numPr>
        <w:bidi/>
        <w:spacing w:after="70" w:line="290"/>
        <w:jc w:val="right"/>
      </w:pPr>
      <w:r>
        <w:rPr>
          <w:rFonts w:ascii="Arial" w:cs="Arial" w:eastAsia="Arial" w:hAnsi="Arial"/>
          <w:color w:val="1E293B"/>
          <w:sz w:val="21"/>
          <w:szCs w:val="21"/>
          <w:rtl/>
        </w:rPr>
        <w:t xml:space="preserve">زر «ترقية» أصبح «تغيير الباقة».</w:t>
      </w:r>
    </w:p>
    <w:p>
      <w:pPr>
        <w:pStyle w:val="ListParagraph"/>
        <w:numPr>
          <w:ilvl w:val="0"/>
          <w:numId w:val="2"/>
        </w:numPr>
        <w:bidi/>
        <w:spacing w:after="70" w:line="290"/>
        <w:jc w:val="right"/>
      </w:pPr>
      <w:r>
        <w:rPr>
          <w:rFonts w:ascii="Arial" w:cs="Arial" w:eastAsia="Arial" w:hAnsi="Arial"/>
          <w:color w:val="1E293B"/>
          <w:sz w:val="21"/>
          <w:szCs w:val="21"/>
          <w:rtl/>
        </w:rPr>
        <w:t xml:space="preserve">سبب التغيير: الزر يوصّل إلى مسار يشمل الترقية والتخفيض معاً، فالتسمية القديمة كانت تصف نصف وظيفته.</w:t>
      </w:r>
    </w:p>
    <w:p>
      <w:pPr>
        <w:spacing w:after="160"/>
      </w:pPr>
    </w:p>
    <w:p>
      <w:pPr>
        <w:pStyle w:val="Heading2"/>
        <w:bidi/>
        <w:spacing w:after="120" w:before="300"/>
        <w:jc w:val="right"/>
      </w:pPr>
      <w:r>
        <w:rPr>
          <w:rFonts w:ascii="Arial" w:cs="Arial" w:eastAsia="Arial" w:hAnsi="Arial"/>
          <w:b/>
          <w:bCs/>
          <w:color w:val="1E293B"/>
          <w:sz w:val="24"/>
          <w:szCs w:val="24"/>
          <w:rtl/>
        </w:rPr>
        <w:t xml:space="preserve">تعديل رقم 1 — ميزة تغيير الباقة — US-131</w:t>
      </w:r>
    </w:p>
    <w:p>
      <w:pPr>
        <w:spacing w:after="50"/>
      </w:pPr>
    </w:p>
    <w:tbl>
      <w:tblPr>
        <w:bidiVisual/>
        <w:tblW w:type="dxa" w:w="9000"/>
        <w:tblBorders>
          <w:top w:val="single" w:color="CBD5E1" w:sz="4"/>
          <w:left w:val="single" w:color="CBD5E1" w:sz="4"/>
          <w:bottom w:val="single" w:color="CBD5E1" w:sz="4"/>
          <w:right w:val="single" w:color="CBD5E1" w:sz="4"/>
          <w:insideH w:val="single" w:color="CBD5E1" w:sz="4"/>
          <w:insideV w:val="single" w:color="CBD5E1" w:sz="4"/>
        </w:tblBorders>
      </w:tblPr>
      <w:tblGrid>
        <w:gridCol w:w="1250"/>
        <w:gridCol w:w="1250"/>
        <w:gridCol w:w="1150"/>
        <w:gridCol w:w="2500"/>
        <w:gridCol w:w="1350"/>
        <w:gridCol w:w="1500"/>
      </w:tblGrid>
      <w:tr>
        <w:trPr>
          <w:tblHeader/>
        </w:trPr>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التاريخ</w:t>
            </w:r>
          </w:p>
        </w:tc>
        <w:tc>
          <w:tcPr>
            <w:tcW w:type="dxa" w:w="12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الصفحة</w:t>
            </w:r>
          </w:p>
        </w:tc>
        <w:tc>
          <w:tcPr>
            <w:tcW w:type="dxa" w:w="11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المسار</w:t>
            </w:r>
          </w:p>
        </w:tc>
        <w:tc>
          <w:tcPr>
            <w:tcW w:type="dxa" w:w="2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الملف</w:t>
            </w:r>
          </w:p>
        </w:tc>
        <w:tc>
          <w:tcPr>
            <w:tcW w:type="dxa" w:w="135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الكوميت</w:t>
            </w:r>
          </w:p>
        </w:tc>
        <w:tc>
          <w:tcPr>
            <w:tcW w:type="dxa" w:w="1500"/>
            <w:shd w:fill="2563EB" w:color="auto" w:val="clear"/>
            <w:tcMar>
              <w:top w:type="dxa" w:w="90"/>
              <w:left w:type="dxa" w:w="110"/>
              <w:bottom w:type="dxa" w:w="90"/>
              <w:right w:type="dxa" w:w="110"/>
            </w:tcMar>
          </w:tcPr>
          <w:p>
            <w:pPr>
              <w:bidi/>
              <w:spacing w:after="0" w:line="280"/>
              <w:jc w:val="right"/>
            </w:pPr>
            <w:r>
              <w:rPr>
                <w:rFonts w:ascii="Arial" w:cs="Arial" w:eastAsia="Arial" w:hAnsi="Arial"/>
                <w:b/>
                <w:bCs/>
                <w:color w:val="FFFFFF"/>
                <w:sz w:val="19"/>
                <w:szCs w:val="19"/>
                <w:rtl/>
              </w:rPr>
              <w:t xml:space="preserve">الحالة</w:t>
            </w:r>
          </w:p>
        </w:tc>
      </w:tr>
      <w:tr>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9 سبتمبر 2026</w:t>
            </w:r>
          </w:p>
        </w:tc>
        <w:tc>
          <w:tcPr>
            <w:tcW w:type="dxa" w:w="12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الاشتراك</w:t>
            </w:r>
          </w:p>
        </w:tc>
        <w:tc>
          <w:tcPr>
            <w:tcW w:type="dxa" w:w="11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/subscribe</w:t>
            </w:r>
          </w:p>
        </w:tc>
        <w:tc>
          <w:tcPr>
            <w:tcW w:type="dxa" w:w="250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src/pages/Subscribe.tsx</w:t>
            </w:r>
          </w:p>
        </w:tc>
        <w:tc>
          <w:tcPr>
            <w:tcW w:type="dxa" w:w="1350"/>
            <w:tcMar>
              <w:top w:type="dxa" w:w="90"/>
              <w:left w:type="dxa" w:w="110"/>
              <w:bottom w:type="dxa" w:w="90"/>
              <w:right w:type="dxa" w:w="110"/>
            </w:tcMar>
          </w:tcPr>
          <w:p>
            <w:pPr>
              <w:bidi/>
              <w:spacing w:after="0" w:line="280"/>
              <w:jc w:val="right"/>
            </w:pPr>
            <w:r>
              <w:rPr>
                <w:rFonts w:ascii="Arial" w:cs="Arial" w:eastAsia="Arial" w:hAnsi="Arial"/>
                <w:b w:val="false"/>
                <w:bCs w:val="false"/>
                <w:color w:val="1E293B"/>
                <w:sz w:val="19"/>
                <w:szCs w:val="19"/>
                <w:rtl/>
              </w:rPr>
              <w:t xml:space="preserve">be5b3c0 · c49b797</w:t>
            </w:r>
          </w:p>
        </w:tc>
        <w:tc>
          <w:tcPr>
            <w:tcW w:type="dxa" w:w="1500"/>
            <w:shd w:fill="ECFDF5" w:color="auto" w:val="clear"/>
            <w:tcMar>
              <w:top w:type="dxa" w:w="90"/>
              <w:left w:type="dxa" w:w="110"/>
              <w:bottom w:type="dxa" w:w="90"/>
              <w:right w:type="dxa" w:w="110"/>
            </w:tcMar>
          </w:tcPr>
          <w:p>
            <w:pPr>
              <w:bidi/>
              <w:spacing w:after="0" w:line="280"/>
              <w:jc w:val="right"/>
            </w:pPr>
            <w:r>
              <w:rPr>
                <w:rFonts w:ascii="Arial" w:cs="Arial" w:eastAsia="Arial" w:hAnsi="Arial"/>
                <w:b/>
                <w:bCs/>
                <w:color w:val="15803D"/>
                <w:sz w:val="19"/>
                <w:szCs w:val="19"/>
                <w:rtl/>
              </w:rPr>
              <w:t xml:space="preserve">منشور على الإنتاج</w:t>
            </w:r>
          </w:p>
        </w:tc>
      </w:tr>
    </w:tbl>
    <w:p>
      <w:pPr>
        <w:spacing w:after="90"/>
      </w:pPr>
    </w:p>
    <w:p>
      <w:pPr>
        <w:pStyle w:val="ListParagraph"/>
        <w:numPr>
          <w:ilvl w:val="0"/>
          <w:numId w:val="2"/>
        </w:numPr>
        <w:bidi/>
        <w:spacing w:after="70" w:line="290"/>
        <w:jc w:val="right"/>
      </w:pPr>
      <w:r>
        <w:rPr>
          <w:rFonts w:ascii="Arial" w:cs="Arial" w:eastAsia="Arial" w:hAnsi="Arial"/>
          <w:color w:val="1E293B"/>
          <w:sz w:val="21"/>
          <w:szCs w:val="21"/>
          <w:rtl/>
        </w:rPr>
        <w:t xml:space="preserve">إعادة بناء شبه كاملة للصفحة — 715 سطراً متغيّراً.</w:t>
      </w:r>
    </w:p>
    <w:p>
      <w:pPr>
        <w:pStyle w:val="ListParagraph"/>
        <w:numPr>
          <w:ilvl w:val="0"/>
          <w:numId w:val="2"/>
        </w:numPr>
        <w:bidi/>
        <w:spacing w:after="70" w:line="290"/>
        <w:jc w:val="right"/>
      </w:pPr>
      <w:r>
        <w:rPr>
          <w:rFonts w:ascii="Arial" w:cs="Arial" w:eastAsia="Arial" w:hAnsi="Arial"/>
          <w:color w:val="1E293B"/>
          <w:sz w:val="21"/>
          <w:szCs w:val="21"/>
          <w:rtl/>
        </w:rPr>
        <w:t xml:space="preserve">اختيار الباقة صار بشريط تمرير (slider) حسب عدد المحادثات الشهرية بدل شبكة الكروت. كل باقة نقطة توقف على الشريط، وباقة المؤسسات هي النقطة الأخيرة بعنوان «غير محدود».</w:t>
      </w:r>
    </w:p>
    <w:p>
      <w:pPr>
        <w:pStyle w:val="ListParagraph"/>
        <w:numPr>
          <w:ilvl w:val="0"/>
          <w:numId w:val="2"/>
        </w:numPr>
        <w:bidi/>
        <w:spacing w:after="70" w:line="290"/>
        <w:jc w:val="right"/>
      </w:pPr>
      <w:r>
        <w:rPr>
          <w:rFonts w:ascii="Arial" w:cs="Arial" w:eastAsia="Arial" w:hAnsi="Arial"/>
          <w:color w:val="1E293B"/>
          <w:sz w:val="21"/>
          <w:szCs w:val="21"/>
          <w:rtl/>
        </w:rPr>
        <w:t xml:space="preserve">مسار من ست خطوات: اختيار الباقة، ثم تأكيد التخفيض، ثم الدفع، ثم المعالجة، ثم النجاح أو الفشل.</w:t>
      </w:r>
    </w:p>
    <w:p>
      <w:pPr>
        <w:pStyle w:val="ListParagraph"/>
        <w:numPr>
          <w:ilvl w:val="0"/>
          <w:numId w:val="2"/>
        </w:numPr>
        <w:bidi/>
        <w:spacing w:after="70" w:line="290"/>
        <w:jc w:val="right"/>
      </w:pPr>
      <w:r>
        <w:rPr>
          <w:rFonts w:ascii="Arial" w:cs="Arial" w:eastAsia="Arial" w:hAnsi="Arial"/>
          <w:color w:val="1E293B"/>
          <w:sz w:val="21"/>
          <w:szCs w:val="21"/>
          <w:rtl/>
        </w:rPr>
        <w:t xml:space="preserve">احتساب تناسبي للترقية: يُحصَّل فرق السعر عن الأيام المتبقية من الدورة الحالية فقط، ويظهر المبلغ مفصّلاً في ملخص الدفع.</w:t>
      </w:r>
    </w:p>
    <w:p>
      <w:pPr>
        <w:pStyle w:val="ListParagraph"/>
        <w:numPr>
          <w:ilvl w:val="0"/>
          <w:numId w:val="2"/>
        </w:numPr>
        <w:bidi/>
        <w:spacing w:after="70" w:line="290"/>
        <w:jc w:val="right"/>
      </w:pPr>
      <w:r>
        <w:rPr>
          <w:rFonts w:ascii="Arial" w:cs="Arial" w:eastAsia="Arial" w:hAnsi="Arial"/>
          <w:color w:val="1E293B"/>
          <w:sz w:val="21"/>
          <w:szCs w:val="21"/>
          <w:rtl/>
        </w:rPr>
        <w:t xml:space="preserve">التخفيض له شاشة تأكيد مستقلة ولا يذهب مباشرة إلى الدفع.</w:t>
      </w:r>
    </w:p>
    <w:p>
      <w:pPr>
        <w:pStyle w:val="ListParagraph"/>
        <w:numPr>
          <w:ilvl w:val="0"/>
          <w:numId w:val="2"/>
        </w:numPr>
        <w:bidi/>
        <w:spacing w:after="70" w:line="290"/>
        <w:jc w:val="right"/>
      </w:pPr>
      <w:r>
        <w:rPr>
          <w:rFonts w:ascii="Arial" w:cs="Arial" w:eastAsia="Arial" w:hAnsi="Arial"/>
          <w:color w:val="1E293B"/>
          <w:sz w:val="21"/>
          <w:szCs w:val="21"/>
          <w:rtl/>
        </w:rPr>
        <w:t xml:space="preserve">دورة الفوترة تُقرأ من اشتراك العميل الحالي بدل أن تبدأ بقيمة ثابتة.</w:t>
      </w:r>
    </w:p>
    <w:p>
      <w:pPr>
        <w:pStyle w:val="ListParagraph"/>
        <w:numPr>
          <w:ilvl w:val="0"/>
          <w:numId w:val="2"/>
        </w:numPr>
        <w:bidi/>
        <w:spacing w:after="70" w:line="290"/>
        <w:jc w:val="right"/>
      </w:pPr>
      <w:r>
        <w:rPr>
          <w:rFonts w:ascii="Arial" w:cs="Arial" w:eastAsia="Arial" w:hAnsi="Arial"/>
          <w:color w:val="1E293B"/>
          <w:sz w:val="21"/>
          <w:szCs w:val="21"/>
          <w:rtl/>
        </w:rPr>
        <w:t xml:space="preserve">أُصلحت علامات تعارض الدمج (merge conflict markers) التي كانت باقية في الملف — كوميت c49b797.</w:t>
      </w:r>
    </w:p>
    <w:p>
      <w:r>
        <w:br w:type="page"/>
      </w:r>
    </w:p>
    <w:p>
      <w:pPr>
        <w:pStyle w:val="Heading1"/>
        <w:pBdr>
          <w:bottom w:val="single" w:color="2563EB" w:sz="12" w:space="6"/>
        </w:pBdr>
        <w:bidi/>
        <w:spacing w:after="160" w:before="360"/>
        <w:jc w:val="right"/>
      </w:pPr>
      <w:r>
        <w:rPr>
          <w:rFonts w:ascii="Arial" w:cs="Arial" w:eastAsia="Arial" w:hAnsi="Arial"/>
          <w:b/>
          <w:bCs/>
          <w:color w:val="2563EB"/>
          <w:sz w:val="30"/>
          <w:szCs w:val="30"/>
          <w:rtl/>
        </w:rPr>
        <w:t xml:space="preserve">كيف يُحدَّث هذا السجل</w:t>
      </w:r>
    </w:p>
    <w:p>
      <w:pPr>
        <w:bidi/>
        <w:spacing w:after="100" w:before="0" w:line="300"/>
        <w:jc w:val="right"/>
      </w:pPr>
      <w:r>
        <w:rPr>
          <w:rFonts w:ascii="Arial" w:cs="Arial" w:eastAsia="Arial" w:hAnsi="Arial"/>
          <w:b w:val="false"/>
          <w:bCs w:val="false"/>
          <w:color w:val="1E293B"/>
          <w:sz w:val="21"/>
          <w:szCs w:val="21"/>
          <w:rtl/>
        </w:rPr>
        <w:t xml:space="preserve">هذه الوثيقة مُولَّدة من سكربت، فلا تُحرَّر يدوياً في Word — أي تعديل يدوي سيضيع عند التوليد التالي.</w:t>
      </w:r>
    </w:p>
    <w:p>
      <w:pPr>
        <w:spacing w:after="60"/>
      </w:pPr>
    </w:p>
    <w:p>
      <w:pPr>
        <w:pStyle w:val="ListParagraph"/>
        <w:numPr>
          <w:ilvl w:val="0"/>
          <w:numId w:val="2"/>
        </w:numPr>
        <w:bidi/>
        <w:spacing w:after="70" w:line="290"/>
        <w:jc w:val="right"/>
      </w:pPr>
      <w:r>
        <w:rPr>
          <w:rFonts w:ascii="Arial" w:cs="Arial" w:eastAsia="Arial" w:hAnsi="Arial"/>
          <w:color w:val="1E293B"/>
          <w:sz w:val="21"/>
          <w:szCs w:val="21"/>
          <w:rtl/>
        </w:rPr>
        <w:t xml:space="preserve">كل تعديل جديد يُضاف كعنصر في أعلى مصفوفة ENTRIES داخل سكربت التوليد.</w:t>
      </w:r>
    </w:p>
    <w:p>
      <w:pPr>
        <w:pStyle w:val="ListParagraph"/>
        <w:numPr>
          <w:ilvl w:val="0"/>
          <w:numId w:val="2"/>
        </w:numPr>
        <w:bidi/>
        <w:spacing w:after="70" w:line="290"/>
        <w:jc w:val="right"/>
      </w:pPr>
      <w:r>
        <w:rPr>
          <w:rFonts w:ascii="Arial" w:cs="Arial" w:eastAsia="Arial" w:hAnsi="Arial"/>
          <w:color w:val="1E293B"/>
          <w:sz w:val="21"/>
          <w:szCs w:val="21"/>
          <w:rtl/>
        </w:rPr>
        <w:t xml:space="preserve">العنصر يحمل: الرقم، التاريخ، العنوان، الصفحة، المسار، الملف، الكوميت، الحالة، وقائمة النقاط.</w:t>
      </w:r>
    </w:p>
    <w:p>
      <w:pPr>
        <w:pStyle w:val="ListParagraph"/>
        <w:numPr>
          <w:ilvl w:val="0"/>
          <w:numId w:val="2"/>
        </w:numPr>
        <w:bidi/>
        <w:spacing w:after="70" w:line="290"/>
        <w:jc w:val="right"/>
      </w:pPr>
      <w:r>
        <w:rPr>
          <w:rFonts w:ascii="Arial" w:cs="Arial" w:eastAsia="Arial" w:hAnsi="Arial"/>
          <w:color w:val="1E293B"/>
          <w:sz w:val="21"/>
          <w:szCs w:val="21"/>
          <w:rtl/>
        </w:rPr>
        <w:t xml:space="preserve">الحالة تأخذ إحدى ثلاث قيم: live أو pending أو wip.</w:t>
      </w:r>
    </w:p>
    <w:p>
      <w:pPr>
        <w:pStyle w:val="ListParagraph"/>
        <w:numPr>
          <w:ilvl w:val="0"/>
          <w:numId w:val="2"/>
        </w:numPr>
        <w:bidi/>
        <w:spacing w:after="70" w:line="290"/>
        <w:jc w:val="right"/>
      </w:pPr>
      <w:r>
        <w:rPr>
          <w:rFonts w:ascii="Arial" w:cs="Arial" w:eastAsia="Arial" w:hAnsi="Arial"/>
          <w:color w:val="1E293B"/>
          <w:sz w:val="21"/>
          <w:szCs w:val="21"/>
          <w:rtl/>
        </w:rPr>
        <w:t xml:space="preserve">عند نشر أي تعديل على السيرفر تُحدَّث حالته من pending إلى live، ويُحدَّث رقم البناء المنشور في أعلى السكربت.</w:t>
      </w:r>
    </w:p>
    <w:p>
      <w:pPr>
        <w:pStyle w:val="ListParagraph"/>
        <w:numPr>
          <w:ilvl w:val="0"/>
          <w:numId w:val="2"/>
        </w:numPr>
        <w:bidi/>
        <w:spacing w:after="70" w:line="290"/>
        <w:jc w:val="right"/>
      </w:pPr>
      <w:r>
        <w:rPr>
          <w:rFonts w:ascii="Arial" w:cs="Arial" w:eastAsia="Arial" w:hAnsi="Arial"/>
          <w:color w:val="1E293B"/>
          <w:sz w:val="21"/>
          <w:szCs w:val="21"/>
          <w:rtl/>
        </w:rPr>
        <w:t xml:space="preserve">جدول الملخص ومربع حالة النشر يُحسبان تلقائياً من البيانات، فلا حاجة لتعديلهما يدوياً.</w:t>
      </w:r>
    </w:p>
    <w:p>
      <w:pPr>
        <w:spacing w:after="220"/>
      </w:pPr>
    </w:p>
    <w:p>
      <w:pPr>
        <w:bidi/>
        <w:spacing w:after="100" w:before="0" w:line="300"/>
        <w:jc w:val="center"/>
      </w:pPr>
      <w:r>
        <w:rPr>
          <w:rFonts w:ascii="Arial" w:cs="Arial" w:eastAsia="Arial" w:hAnsi="Arial"/>
          <w:b w:val="false"/>
          <w:bCs w:val="false"/>
          <w:color w:val="64748B"/>
          <w:sz w:val="20"/>
          <w:szCs w:val="20"/>
          <w:rtl/>
        </w:rPr>
        <w:t xml:space="preserve">عدد التعديلات المسجّلة: 6</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3"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2026-09-10T08:08:45.782Z</dcterms:created>
  <dcterms:modified xsi:type="dcterms:W3CDTF">2026-09-10T08:08:45.782Z</dcterms:modified>
</cp:coreProperties>
</file>

<file path=docProps/custom.xml><?xml version="1.0" encoding="utf-8"?>
<Properties xmlns="http://schemas.openxmlformats.org/officeDocument/2006/custom-properties" xmlns:vt="http://schemas.openxmlformats.org/officeDocument/2006/docPropsVTypes"/>
</file>