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bidi/>
        <w:spacing w:after="120"/>
        <w:jc w:val="center"/>
      </w:pPr>
      <w:r>
        <w:rPr>
          <w:rFonts w:ascii="Arial" w:cs="Arial" w:eastAsia="Arial" w:hAnsi="Arial"/>
          <w:b/>
          <w:bCs/>
          <w:color w:val="2563EB"/>
          <w:sz w:val="58"/>
          <w:szCs w:val="58"/>
        </w:rPr>
        <w:t xml:space="preserve">Qhub</w:t>
      </w:r>
    </w:p>
    <w:p>
      <w:pPr>
        <w:bidi/>
        <w:spacing w:after="180"/>
        <w:jc w:val="center"/>
      </w:pPr>
      <w:r>
        <w:rPr>
          <w:rFonts w:ascii="Arial" w:cs="Arial" w:eastAsia="Arial" w:hAnsi="Arial"/>
          <w:b/>
          <w:bCs/>
          <w:color w:val="1E293B"/>
          <w:sz w:val="44"/>
          <w:szCs w:val="44"/>
          <w:rtl/>
        </w:rPr>
        <w:t xml:space="preserve">سجل التعديلات</w:t>
      </w:r>
    </w:p>
    <w:p>
      <w:pPr>
        <w:bidi/>
        <w:spacing w:after="600"/>
        <w:jc w:val="center"/>
      </w:pPr>
      <w:r>
        <w:rPr>
          <w:rFonts w:ascii="Arial" w:cs="Arial" w:eastAsia="Arial" w:hAnsi="Arial"/>
          <w:color w:val="64748B"/>
          <w:sz w:val="26"/>
          <w:szCs w:val="26"/>
          <w:rtl/>
        </w:rPr>
        <w:t xml:space="preserve">بورتال الكلاينت</w:t>
      </w:r>
    </w:p>
    <w:p>
      <w:pPr>
        <w:bidi/>
        <w:spacing w:after="60"/>
        <w:jc w:val="center"/>
      </w:pPr>
      <w:r>
        <w:rPr>
          <w:rFonts w:ascii="Arial" w:cs="Arial" w:eastAsia="Arial" w:hAnsi="Arial"/>
          <w:color w:val="64748B"/>
          <w:sz w:val="21"/>
          <w:szCs w:val="21"/>
          <w:rtl/>
        </w:rPr>
        <w:t xml:space="preserve">وثيقة حيّة — تُحدَّث مع كل تعديل جديد</w:t>
      </w:r>
    </w:p>
    <w:p>
      <w:pPr>
        <w:bidi/>
        <w:spacing w:after="60"/>
        <w:jc w:val="center"/>
      </w:pPr>
      <w:r>
        <w:rPr>
          <w:rFonts w:ascii="Arial" w:cs="Arial" w:eastAsia="Arial" w:hAnsi="Arial"/>
          <w:color w:val="64748B"/>
          <w:sz w:val="21"/>
          <w:szCs w:val="21"/>
          <w:rtl/>
        </w:rPr>
        <w:t xml:space="preserve">آخر تحديث: 10 سبتمبر 2026</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ملخص التعديلات</w:t>
      </w:r>
    </w:p>
    <w:p>
      <w:pPr>
        <w:bidi/>
        <w:spacing w:after="100" w:before="0" w:line="300"/>
        <w:jc w:val="right"/>
      </w:pPr>
      <w:r>
        <w:rPr>
          <w:rFonts w:ascii="Arial" w:cs="Arial" w:eastAsia="Arial" w:hAnsi="Arial"/>
          <w:b w:val="false"/>
          <w:bCs w:val="false"/>
          <w:color w:val="1E293B"/>
          <w:sz w:val="21"/>
          <w:szCs w:val="21"/>
          <w:rtl/>
        </w:rPr>
        <w:t xml:space="preserve">كل تعديل على بورتال الكلاينت، الأحدث أولاً. التفاصيل الكاملة في القسم التالي.</w:t>
      </w:r>
    </w:p>
    <w:p>
      <w:pPr>
        <w:spacing w:after="8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600"/>
        <w:gridCol w:w="1500"/>
        <w:gridCol w:w="3600"/>
        <w:gridCol w:w="1500"/>
        <w:gridCol w:w="1800"/>
      </w:tblGrid>
      <w:tr>
        <w:trPr>
          <w:tblHeader/>
        </w:trPr>
        <w:tc>
          <w:tcPr>
            <w:tcW w:type="dxa" w:w="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3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التعديل</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8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4</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دورات المحادثة واشتقاقها — أساس شريط فهرسة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8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3</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إزالة كارت نسبة الاستجابة من صفحة تقييمات العملاء</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8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2</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تغيير تسمية زر الترقية في صفحة الفوترة</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ميزة تغيير الباقة — US-131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pStyle w:val="Heading2"/>
        <w:bidi/>
        <w:spacing w:after="120" w:before="300"/>
        <w:jc w:val="right"/>
      </w:pPr>
      <w:r>
        <w:rPr>
          <w:rFonts w:ascii="Arial" w:cs="Arial" w:eastAsia="Arial" w:hAnsi="Arial"/>
          <w:b/>
          <w:bCs/>
          <w:color w:val="1E293B"/>
          <w:sz w:val="24"/>
          <w:szCs w:val="24"/>
          <w:rtl/>
        </w:rPr>
        <w:t xml:space="preserve">دلالة الحالات</w:t>
      </w:r>
    </w:p>
    <w:p>
      <w:pPr>
        <w:spacing w:after="6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6600"/>
      </w:tblGrid>
      <w:tr>
        <w:trPr>
          <w:tblHeader/>
        </w:trPr>
        <w:tc>
          <w:tcPr>
            <w:tcW w:type="dxa" w:w="24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c>
          <w:tcPr>
            <w:tcW w:type="dxa" w:w="6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المعنى</w:t>
            </w:r>
          </w:p>
        </w:tc>
      </w:tr>
      <w:tr>
        <w:tc>
          <w:tcPr>
            <w:tcW w:type="dxa" w:w="24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الفرع ومنشور على qhub-client.apexes.click — العملاء يرونه الآن.</w:t>
            </w:r>
          </w:p>
        </w:tc>
      </w:tr>
      <w:tr>
        <w:tc>
          <w:tcPr>
            <w:tcW w:type="dxa" w:w="24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c>
          <w:tcPr>
            <w:tcW w:type="dxa" w:w="6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فرع Git لكنه لم يُنشر على السيرفر بعد — العملاء لا يرونه.</w:t>
            </w:r>
          </w:p>
        </w:tc>
      </w:tr>
      <w:tr>
        <w:tc>
          <w:tcPr>
            <w:tcW w:type="dxa" w:w="24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64748B"/>
                <w:sz w:val="19"/>
                <w:szCs w:val="19"/>
                <w:rtl/>
              </w:rPr>
              <w:t xml:space="preserve">قيد التطوير</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في مجلد العمل ولم يُرفع على Git بعد.</w:t>
            </w:r>
          </w:p>
        </w:tc>
      </w:tr>
    </w:tbl>
    <w:p>
      <w:pPr>
        <w:spacing w:after="200"/>
      </w:pPr>
    </w:p>
    <w:tbl>
      <w:tblPr>
        <w:bidiVisual/>
        <w:tblW w:type="dxa" w:w="9000"/>
        <w:tblBorders>
          <w:top w:val="single" w:color="B45309" w:sz="4"/>
          <w:left w:val="single" w:color="B45309" w:sz="4"/>
          <w:bottom w:val="single" w:color="B45309" w:sz="4"/>
          <w:right w:val="single" w:color="B45309" w:sz="18"/>
          <w:insideH w:val="none"/>
          <w:insideV w:val="none"/>
        </w:tblBorders>
      </w:tblPr>
      <w:tblGrid>
        <w:gridCol w:w="9000"/>
      </w:tblGrid>
      <w:tr>
        <w:tc>
          <w:tcPr>
            <w:tcW w:type="dxa" w:w="9000"/>
            <w:shd w:fill="FFFBEB" w:color="auto" w:val="clear"/>
            <w:tcMar>
              <w:top w:type="dxa" w:w="140"/>
              <w:left w:type="dxa" w:w="160"/>
              <w:bottom w:type="dxa" w:w="140"/>
              <w:right w:type="dxa" w:w="160"/>
            </w:tcMar>
          </w:tcPr>
          <w:p>
            <w:pPr>
              <w:bidi/>
              <w:spacing w:after="90"/>
              <w:jc w:val="right"/>
            </w:pPr>
            <w:r>
              <w:rPr>
                <w:rFonts w:ascii="Arial" w:cs="Arial" w:eastAsia="Arial" w:hAnsi="Arial"/>
                <w:b/>
                <w:bCs/>
                <w:color w:val="B45309"/>
                <w:sz w:val="21"/>
                <w:szCs w:val="21"/>
                <w:rtl/>
              </w:rPr>
              <w:t xml:space="preserve">حالة النشر الآن</w:t>
            </w:r>
          </w:p>
          <w:p>
            <w:pPr>
              <w:bidi/>
              <w:spacing w:after="60" w:line="290"/>
              <w:jc w:val="right"/>
            </w:pPr>
            <w:r>
              <w:rPr>
                <w:rFonts w:ascii="Arial" w:cs="Arial" w:eastAsia="Arial" w:hAnsi="Arial"/>
                <w:color w:val="1E293B"/>
                <w:sz w:val="20"/>
                <w:szCs w:val="20"/>
                <w:rtl/>
              </w:rPr>
              <w:t xml:space="preserve">البناء المنشور على الإنتاج: 2b5d5cb7-ae3d-4d19-88e3-dc3bc0218602</w:t>
            </w:r>
          </w:p>
          <w:p>
            <w:pPr>
              <w:bidi/>
              <w:spacing w:after="60" w:line="290"/>
              <w:jc w:val="right"/>
            </w:pPr>
            <w:r>
              <w:rPr>
                <w:rFonts w:ascii="Arial" w:cs="Arial" w:eastAsia="Arial" w:hAnsi="Arial"/>
                <w:color w:val="1E293B"/>
                <w:sz w:val="20"/>
                <w:szCs w:val="20"/>
                <w:rtl/>
              </w:rPr>
              <w:t xml:space="preserve">يوجد 2 تعديل مرفوع على الفرع ولم يُنشر بعد — مبيّن في الجدول أعلاه.</w:t>
            </w:r>
          </w:p>
          <w:p>
            <w:pPr>
              <w:bidi/>
              <w:spacing w:after="60" w:line="290"/>
              <w:jc w:val="right"/>
            </w:pPr>
            <w:r>
              <w:rPr>
                <w:rFonts w:ascii="Arial" w:cs="Arial" w:eastAsia="Arial" w:hAnsi="Arial"/>
                <w:color w:val="1E293B"/>
                <w:sz w:val="20"/>
                <w:szCs w:val="20"/>
                <w:rtl/>
              </w:rPr>
              <w:t xml:space="preserve">قاعدة العمل المتفق عليها: الرفع على فرع Git يتم مباشرة، أما النشر على السيرفر فلا يتم إلا بطلب صريح.</w:t>
            </w:r>
          </w:p>
        </w:tc>
      </w:tr>
    </w:tbl>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تفاصيل التعديلات</w:t>
      </w:r>
    </w:p>
    <w:p>
      <w:pPr>
        <w:pStyle w:val="Heading2"/>
        <w:bidi/>
        <w:spacing w:after="120" w:before="300"/>
        <w:jc w:val="right"/>
      </w:pPr>
      <w:r>
        <w:rPr>
          <w:rFonts w:ascii="Arial" w:cs="Arial" w:eastAsia="Arial" w:hAnsi="Arial"/>
          <w:b/>
          <w:bCs/>
          <w:color w:val="1E293B"/>
          <w:sz w:val="24"/>
          <w:szCs w:val="24"/>
          <w:rtl/>
        </w:rPr>
        <w:t xml:space="preserve">تعديل رقم 4 — تسجيل دورات المحادثة واشتقاقها — أساس شريط فهرسة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src/utils/sessions.ts · src/store/useDataStore.ts · src/types/index.ts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w:t>
            </w:r>
          </w:p>
        </w:tc>
        <w:tc>
          <w:tcPr>
            <w:tcW w:type="dxa" w:w="15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المشكلة: المحادثة الواحدة تُعاد فتحها كلما راسل العميل بعد الإغلاق، فيصير الثريد بلا نهاية. ولرسم شريط فهرسة يقسّمه إلى دورات، لزم معرفة توقيت كل فتح وإغلاق — وهي بيانات لم تكن تُسجَّل إطلاقاً.</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الحقل sessionCount يُكتب مرة واحدة عند الإنشاء ولا يزيده أي سطر في المشروع، وقيمه في البيانات التجريبية مكتوبة يدوياً. كذلك activityLog على المحادثة كان مُعرَّفاً في الأنواع لكن لا دالة تكتب فيه وقت التشغيل.</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النوع SessionEvent لتسجيل حدث فتح أو إغلاق بتوقيته وصاحبه، والنوع ConversationSession يمثّل الدورة المشتقّة.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أربعة مواضع تسجّل الحدث فعلياً: setConversationStatus عند الإغلاق أو إعادة الفتح، reopenConversation، ورسالة العميل الواردة نصية أو صوتية حين تُحيي محادثة مغلقة — وهذا آخرها كان يمرّ بلا أي أثر رغم أنه أكثرها تكراراً.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الدالة deriveSessions التي تقسّم الثريد إلى دورات: الأحداث المسجّلة مرجع قاطع، وما سبقها من تاريخ قديم تُستنتج حدوده من فجوات الصمت (24 ساعة افتراضاً) وتُعلَّم inferred حتى يظل الفرق بين المؤكَّد والمقدَّر ظاهراً.</w:t>
      </w:r>
    </w:p>
    <w:p>
      <w:pPr>
        <w:pStyle w:val="ListParagraph"/>
        <w:numPr>
          <w:ilvl w:val="0"/>
          <w:numId w:val="2"/>
        </w:numPr>
        <w:bidi/>
        <w:spacing w:after="70" w:line="290"/>
        <w:jc w:val="right"/>
      </w:pPr>
      <w:r>
        <w:rPr>
          <w:rFonts w:ascii="Arial" w:cs="Arial" w:eastAsia="Arial" w:hAnsi="Arial"/>
          <w:color w:val="1E293B"/>
          <w:sz w:val="21"/>
          <w:szCs w:val="21"/>
          <w:rtl/>
        </w:rPr>
        <w:t xml:space="preserve">الدالة تتعامل مع الحالة المختلطة: ثريد فيه تاريخ قديم مُستنتج ودورات جديدة مسجّلة في آن واحد.</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المنطق على ثماني حالات شملت الثريد الفارغ والرسالة الواحدة والفجوات المتعددة والأحداث المسجّلة والحالة المختلطة والمدخلات غير المرتّبة زمنياً — جميعها نجحت.</w:t>
      </w:r>
    </w:p>
    <w:p>
      <w:pPr>
        <w:pStyle w:val="ListParagraph"/>
        <w:numPr>
          <w:ilvl w:val="0"/>
          <w:numId w:val="2"/>
        </w:numPr>
        <w:bidi/>
        <w:spacing w:after="70" w:line="290"/>
        <w:jc w:val="right"/>
      </w:pPr>
      <w:r>
        <w:rPr>
          <w:rFonts w:ascii="Arial" w:cs="Arial" w:eastAsia="Arial" w:hAnsi="Arial"/>
          <w:color w:val="1E293B"/>
          <w:sz w:val="21"/>
          <w:szCs w:val="21"/>
          <w:rtl/>
        </w:rPr>
        <w:t xml:space="preserve">ملاحظة على البيانات الحالية: كل المحادثات التجريبية تُنتج دورة واحدة لأن رسائلها متقاربة بدقائق ولا فجوات فيها. الشريط لن يُظهر تقسيماً حقيقياً قبل توفّر بيانات متباعدة زمنياً.</w:t>
      </w:r>
    </w:p>
    <w:p>
      <w:pPr>
        <w:pStyle w:val="ListParagraph"/>
        <w:numPr>
          <w:ilvl w:val="0"/>
          <w:numId w:val="2"/>
        </w:numPr>
        <w:bidi/>
        <w:spacing w:after="70" w:line="290"/>
        <w:jc w:val="right"/>
      </w:pPr>
      <w:r>
        <w:rPr>
          <w:rFonts w:ascii="Arial" w:cs="Arial" w:eastAsia="Arial" w:hAnsi="Arial"/>
          <w:color w:val="1E293B"/>
          <w:sz w:val="21"/>
          <w:szCs w:val="21"/>
          <w:rtl/>
        </w:rPr>
        <w:t xml:space="preserve">لم تُبنَ واجهة الشريط بعد — هذا التعديل يغطّي طبقة البيانات وحدها.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3 — إزالة كارت نسبة الاستجابة من صفحة تقييمات العملاء</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/rating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src/pages/CustomerRatings.tsx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cc8bd4f</w:t>
            </w:r>
          </w:p>
        </w:tc>
        <w:tc>
          <w:tcPr>
            <w:tcW w:type="dxa" w:w="15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حُذف كارت «نسبة الاستجابة» بالكامل من شريط الإحصائيات — صارت 3 كروت بدل 4.</w:t>
      </w:r>
    </w:p>
    <w:p>
      <w:pPr>
        <w:pStyle w:val="ListParagraph"/>
        <w:numPr>
          <w:ilvl w:val="0"/>
          <w:numId w:val="2"/>
        </w:numPr>
        <w:bidi/>
        <w:spacing w:after="70" w:line="290"/>
        <w:jc w:val="right"/>
      </w:pPr>
      <w:r>
        <w:rPr>
          <w:rFonts w:ascii="Arial" w:cs="Arial" w:eastAsia="Arial" w:hAnsi="Arial"/>
          <w:color w:val="1E293B"/>
          <w:sz w:val="21"/>
          <w:szCs w:val="21"/>
          <w:rtl/>
        </w:rPr>
        <w:t xml:space="preserve">حُذف معه حساب responseRate لأنه لم يعد له مستهلك في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حُذف استيراد أيقونة TrendingUp لأنها كانت مستخدمة في هذا الكارت وحده.</w:t>
      </w:r>
    </w:p>
    <w:p>
      <w:pPr>
        <w:pStyle w:val="ListParagraph"/>
        <w:numPr>
          <w:ilvl w:val="0"/>
          <w:numId w:val="2"/>
        </w:numPr>
        <w:bidi/>
        <w:spacing w:after="70" w:line="290"/>
        <w:jc w:val="right"/>
      </w:pPr>
      <w:r>
        <w:rPr>
          <w:rFonts w:ascii="Arial" w:cs="Arial" w:eastAsia="Arial" w:hAnsi="Arial"/>
          <w:color w:val="1E293B"/>
          <w:sz w:val="21"/>
          <w:szCs w:val="21"/>
          <w:rtl/>
        </w:rPr>
        <w:t xml:space="preserve">عُدّلت شبكة العرض من grid-cols-2 lg:grid-cols-4 إلى grid-cols-1 sm:grid-cols-3، حتى لا يبقى كارت يتيم في سطر منفصل على الشاشات الصغيرة.</w:t>
      </w:r>
    </w:p>
    <w:p>
      <w:pPr>
        <w:pStyle w:val="ListParagraph"/>
        <w:numPr>
          <w:ilvl w:val="0"/>
          <w:numId w:val="2"/>
        </w:numPr>
        <w:bidi/>
        <w:spacing w:after="70" w:line="290"/>
        <w:jc w:val="right"/>
      </w:pPr>
      <w:r>
        <w:rPr>
          <w:rFonts w:ascii="Arial" w:cs="Arial" w:eastAsia="Arial" w:hAnsi="Arial"/>
          <w:color w:val="1E293B"/>
          <w:sz w:val="21"/>
          <w:szCs w:val="21"/>
          <w:rtl/>
        </w:rPr>
        <w:t xml:space="preserve">الكروت الباقية: متوسط تقييم المحادثة، متوسط تقييم الموظفين، إجمالي الروابط.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2 — تغيير تسمية زر الترقية في صفحة الفوترة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src/pages/Billing.tsx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زر «ترقية» أصبح «تغيير الباقة».</w:t>
      </w:r>
    </w:p>
    <w:p>
      <w:pPr>
        <w:pStyle w:val="ListParagraph"/>
        <w:numPr>
          <w:ilvl w:val="0"/>
          <w:numId w:val="2"/>
        </w:numPr>
        <w:bidi/>
        <w:spacing w:after="70" w:line="290"/>
        <w:jc w:val="right"/>
      </w:pPr>
      <w:r>
        <w:rPr>
          <w:rFonts w:ascii="Arial" w:cs="Arial" w:eastAsia="Arial" w:hAnsi="Arial"/>
          <w:color w:val="1E293B"/>
          <w:sz w:val="21"/>
          <w:szCs w:val="21"/>
          <w:rtl/>
        </w:rPr>
        <w:t xml:space="preserve">سبب التغيير: الزر يوصّل إلى مسار يشمل الترقية والتخفيض معاً، فالتسمية القديمة كانت تصف نصف وظيفته.</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 — ميزة تغيير الباقة — US-131</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 · c49b797</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إعادة بناء شبه كاملة للصفحة — 715 سطراً متغيّراً.</w:t>
      </w:r>
    </w:p>
    <w:p>
      <w:pPr>
        <w:pStyle w:val="ListParagraph"/>
        <w:numPr>
          <w:ilvl w:val="0"/>
          <w:numId w:val="2"/>
        </w:numPr>
        <w:bidi/>
        <w:spacing w:after="70" w:line="290"/>
        <w:jc w:val="right"/>
      </w:pPr>
      <w:r>
        <w:rPr>
          <w:rFonts w:ascii="Arial" w:cs="Arial" w:eastAsia="Arial" w:hAnsi="Arial"/>
          <w:color w:val="1E293B"/>
          <w:sz w:val="21"/>
          <w:szCs w:val="21"/>
          <w:rtl/>
        </w:rPr>
        <w:t xml:space="preserve">اختيار الباقة صار بشريط تمرير (slider) حسب عدد المحادثات الشهرية بدل شبكة الكروت. كل باقة نقطة توقف على الشريط، وباقة المؤسسات هي النقطة الأخيرة بعنوان «غير محدود».</w:t>
      </w:r>
    </w:p>
    <w:p>
      <w:pPr>
        <w:pStyle w:val="ListParagraph"/>
        <w:numPr>
          <w:ilvl w:val="0"/>
          <w:numId w:val="2"/>
        </w:numPr>
        <w:bidi/>
        <w:spacing w:after="70" w:line="290"/>
        <w:jc w:val="right"/>
      </w:pPr>
      <w:r>
        <w:rPr>
          <w:rFonts w:ascii="Arial" w:cs="Arial" w:eastAsia="Arial" w:hAnsi="Arial"/>
          <w:color w:val="1E293B"/>
          <w:sz w:val="21"/>
          <w:szCs w:val="21"/>
          <w:rtl/>
        </w:rPr>
        <w:t xml:space="preserve">مسار من ست خطوات: اختيار الباقة، ثم تأكيد التخفيض، ثم الدفع، ثم المعالجة، ثم النجاح أو الفشل.</w:t>
      </w:r>
    </w:p>
    <w:p>
      <w:pPr>
        <w:pStyle w:val="ListParagraph"/>
        <w:numPr>
          <w:ilvl w:val="0"/>
          <w:numId w:val="2"/>
        </w:numPr>
        <w:bidi/>
        <w:spacing w:after="70" w:line="290"/>
        <w:jc w:val="right"/>
      </w:pPr>
      <w:r>
        <w:rPr>
          <w:rFonts w:ascii="Arial" w:cs="Arial" w:eastAsia="Arial" w:hAnsi="Arial"/>
          <w:color w:val="1E293B"/>
          <w:sz w:val="21"/>
          <w:szCs w:val="21"/>
          <w:rtl/>
        </w:rPr>
        <w:t xml:space="preserve">احتساب تناسبي للترقية: يُحصَّل فرق السعر عن الأيام المتبقية من الدورة الحالية فقط، ويظهر المبلغ مفصّلاً في ملخص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التخفيض له شاشة تأكيد مستقلة ولا يذهب مباشرة إلى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دورة الفوترة تُقرأ من اشتراك العميل الحالي بدل أن تبدأ بقيمة ثابتة.</w:t>
      </w:r>
    </w:p>
    <w:p>
      <w:pPr>
        <w:pStyle w:val="ListParagraph"/>
        <w:numPr>
          <w:ilvl w:val="0"/>
          <w:numId w:val="2"/>
        </w:numPr>
        <w:bidi/>
        <w:spacing w:after="70" w:line="290"/>
        <w:jc w:val="right"/>
      </w:pPr>
      <w:r>
        <w:rPr>
          <w:rFonts w:ascii="Arial" w:cs="Arial" w:eastAsia="Arial" w:hAnsi="Arial"/>
          <w:color w:val="1E293B"/>
          <w:sz w:val="21"/>
          <w:szCs w:val="21"/>
          <w:rtl/>
        </w:rPr>
        <w:t xml:space="preserve">أُصلحت علامات تعارض الدمج (merge conflict markers) التي كانت باقية في الملف — كوميت c49b797.</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كيف يُحدَّث هذا السجل</w:t>
      </w:r>
    </w:p>
    <w:p>
      <w:pPr>
        <w:bidi/>
        <w:spacing w:after="100" w:before="0" w:line="300"/>
        <w:jc w:val="right"/>
      </w:pPr>
      <w:r>
        <w:rPr>
          <w:rFonts w:ascii="Arial" w:cs="Arial" w:eastAsia="Arial" w:hAnsi="Arial"/>
          <w:b w:val="false"/>
          <w:bCs w:val="false"/>
          <w:color w:val="1E293B"/>
          <w:sz w:val="21"/>
          <w:szCs w:val="21"/>
          <w:rtl/>
        </w:rPr>
        <w:t xml:space="preserve">هذه الوثيقة مُولَّدة من سكربت، فلا تُحرَّر يدوياً في Word — أي تعديل يدوي سيضيع عند التوليد التالي.</w:t>
      </w:r>
    </w:p>
    <w:p>
      <w:pPr>
        <w:spacing w:after="60"/>
      </w:pPr>
    </w:p>
    <w:p>
      <w:pPr>
        <w:pStyle w:val="ListParagraph"/>
        <w:numPr>
          <w:ilvl w:val="0"/>
          <w:numId w:val="2"/>
        </w:numPr>
        <w:bidi/>
        <w:spacing w:after="70" w:line="290"/>
        <w:jc w:val="right"/>
      </w:pPr>
      <w:r>
        <w:rPr>
          <w:rFonts w:ascii="Arial" w:cs="Arial" w:eastAsia="Arial" w:hAnsi="Arial"/>
          <w:color w:val="1E293B"/>
          <w:sz w:val="21"/>
          <w:szCs w:val="21"/>
          <w:rtl/>
        </w:rPr>
        <w:t xml:space="preserve">كل تعديل جديد يُضاف كعنصر في أعلى مصفوفة ENTRIES داخل سكربت التوليد.</w:t>
      </w:r>
    </w:p>
    <w:p>
      <w:pPr>
        <w:pStyle w:val="ListParagraph"/>
        <w:numPr>
          <w:ilvl w:val="0"/>
          <w:numId w:val="2"/>
        </w:numPr>
        <w:bidi/>
        <w:spacing w:after="70" w:line="290"/>
        <w:jc w:val="right"/>
      </w:pPr>
      <w:r>
        <w:rPr>
          <w:rFonts w:ascii="Arial" w:cs="Arial" w:eastAsia="Arial" w:hAnsi="Arial"/>
          <w:color w:val="1E293B"/>
          <w:sz w:val="21"/>
          <w:szCs w:val="21"/>
          <w:rtl/>
        </w:rPr>
        <w:t xml:space="preserve">العنصر يحمل: الرقم، التاريخ، العنوان، الصفحة، المسار، الملف، الكوميت، الحالة، وقائمة النقاط.</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تأخذ إحدى ثلاث قيم: live أو pending أو wip.</w:t>
      </w:r>
    </w:p>
    <w:p>
      <w:pPr>
        <w:pStyle w:val="ListParagraph"/>
        <w:numPr>
          <w:ilvl w:val="0"/>
          <w:numId w:val="2"/>
        </w:numPr>
        <w:bidi/>
        <w:spacing w:after="70" w:line="290"/>
        <w:jc w:val="right"/>
      </w:pPr>
      <w:r>
        <w:rPr>
          <w:rFonts w:ascii="Arial" w:cs="Arial" w:eastAsia="Arial" w:hAnsi="Arial"/>
          <w:color w:val="1E293B"/>
          <w:sz w:val="21"/>
          <w:szCs w:val="21"/>
          <w:rtl/>
        </w:rPr>
        <w:t xml:space="preserve">عند نشر أي تعديل على السيرفر تُحدَّث حالته من pending إلى live، ويُحدَّث رقم البناء المنشور في أعلى السكربت.</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الملخص ومربع حالة النشر يُحسبان تلقائياً من البيانات، فلا حاجة لتعديلهما يدوياً.</w:t>
      </w:r>
    </w:p>
    <w:p>
      <w:pPr>
        <w:spacing w:after="220"/>
      </w:pPr>
    </w:p>
    <w:p>
      <w:pPr>
        <w:bidi/>
        <w:spacing w:after="100" w:before="0" w:line="300"/>
        <w:jc w:val="center"/>
      </w:pPr>
      <w:r>
        <w:rPr>
          <w:rFonts w:ascii="Arial" w:cs="Arial" w:eastAsia="Arial" w:hAnsi="Arial"/>
          <w:b w:val="false"/>
          <w:bCs w:val="false"/>
          <w:color w:val="64748B"/>
          <w:sz w:val="20"/>
          <w:szCs w:val="20"/>
          <w:rtl/>
        </w:rPr>
        <w:t xml:space="preserve">عدد التعديلات المسجّلة: 4</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2026-09-10T07:33:38.500Z</dcterms:created>
  <dcterms:modified xsi:type="dcterms:W3CDTF">2026-09-10T07:33:38.500Z</dcterms:modified>
</cp:coreProperties>
</file>

<file path=docProps/custom.xml><?xml version="1.0" encoding="utf-8"?>
<Properties xmlns="http://schemas.openxmlformats.org/officeDocument/2006/custom-properties" xmlns:vt="http://schemas.openxmlformats.org/officeDocument/2006/docPropsVTypes"/>
</file>