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400"/>
        <w:jc w:val="star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Qhub</w:t>
      </w:r>
    </w:p>
    <w:p>
      <w:pPr>
        <w:bidi/>
        <w:spacing w:after="80" w:before="0"/>
        <w:jc w:val="start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نماذج تحصيل تكلفة رسائل الحملات</w:t>
      </w:r>
    </w:p>
    <w:p>
      <w:pPr>
        <w:pBdr>
          <w:bottom w:val="single" w:color="2563EB" w:sz="6"/>
        </w:pBdr>
        <w:bidi/>
        <w:spacing w:after="300" w:before="0"/>
        <w:jc w:val="start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ثلاثة سيناريوهات وانعكاس كل منها على لوحة العميل ولوحة الأدمن  ·  سبتمبر 2026</w:t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الخلاصة</w:t>
      </w:r>
    </w:p>
    <w:p>
      <w:pPr>
        <w:pBdr>
          <w:top w:val="single" w:color="991B1B" w:sz="2"/>
          <w:left w:val="single" w:color="991B1B" w:sz="2"/>
          <w:right w:val="single" w:color="991B1B" w:sz="2"/>
        </w:pBdr>
        <w:shd w:fill="FEE2E2" w:val="clear"/>
        <w:bidi/>
        <w:spacing w:after="60" w:before="16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السؤال: </w:t>
      </w:r>
      <w:r>
        <w:rPr>
          <w:rFonts w:ascii="Arial" w:cs="Arial" w:eastAsia="Arial" w:hAnsi="Arial"/>
          <w:color w:val="991B1B"/>
          <w:sz w:val="21"/>
          <w:szCs w:val="21"/>
        </w:rPr>
        <w:t xml:space="preserve">رسوم ميتا على رسائل الحملات تكلفة حقيقية متغيّرة. من يدفعها، وكيف تمرّ؟</w:t>
      </w:r>
    </w:p>
    <w:p>
      <w:pPr>
        <w:pBdr>
          <w:left w:val="single" w:color="991B1B" w:sz="2"/>
          <w:right w:val="single" w:color="991B1B" w:sz="2"/>
        </w:pBdr>
        <w:shd w:fill="FEE2E2" w:val="clear"/>
        <w:bidi/>
        <w:spacing w:after="60" w:before="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التوصية: </w:t>
      </w:r>
      <w:r>
        <w:rPr>
          <w:rFonts w:ascii="Arial" w:cs="Arial" w:eastAsia="Arial" w:hAnsi="Arial"/>
          <w:color w:val="991B1B"/>
          <w:sz w:val="21"/>
          <w:szCs w:val="21"/>
        </w:rPr>
        <w:t xml:space="preserve">نموذج هجين — حصّة صغيرة مشمولة في الباقة، وما زاد عنها برصيد يشحنه العميل.</w:t>
      </w:r>
    </w:p>
    <w:p>
      <w:pPr>
        <w:pBdr>
          <w:bottom w:val="single" w:color="991B1B" w:sz="2"/>
          <w:left w:val="single" w:color="991B1B" w:sz="2"/>
          <w:right w:val="single" w:color="991B1B" w:sz="2"/>
        </w:pBdr>
        <w:shd w:fill="FEE2E2" w:val="clear"/>
        <w:bidi/>
        <w:spacing w:after="200" w:before="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السبب: </w:t>
      </w:r>
      <w:r>
        <w:rPr>
          <w:rFonts w:ascii="Arial" w:cs="Arial" w:eastAsia="Arial" w:hAnsi="Arial"/>
          <w:color w:val="991B1B"/>
          <w:sz w:val="21"/>
          <w:szCs w:val="21"/>
        </w:rPr>
        <w:t xml:space="preserve">الحصّة المشمولة تُزيل احتكاك التجربة الأولى، والرصيد يحمي هامشنا عند الحجم الكبير.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هذه الوثيقة تشرح الثلاثة نماذج، وما الذي يتغيّر في كل شاشة عند اختيار أيٍّ منها، وما الذي نملكه اليوم وما ينقصنا.</w:t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لماذا هذا قرار مطلوب الآن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قناة واحدة فقط عليها تكلفة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نظامنا يدعم قناتين للحملات — واتساب والبريد الإلكتروني. والبريد تكلفته رمزية وتتبع مزوّد العميل لا نحن. أما واتساب فهو القناة الوحيدة ذات التكلفة الحقيقية لكل رسالة.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بقية القنوات غير متاحة للحملات أصلاً، وهذا صحيح لا نقص: ماسنجر وإنستغرام محكومان بنافذة 24 ساعة ولا يسمحان بالرسائل الترويجية خارجها، وتيليجرام لا يصل إلا لمن بدأ المحادثة، ورسائل X مقيّدة.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ما تغيّر في 2025 و 2026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 يوليو 2025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انتقلت ميتا من الفوترة بالمحادثة إلى الفوترة بالرسالة. كل رسالة قالب تُسلَّم تُحاسَب حسب تصنيفها ودولة المستقبِل.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 أغسطس 2026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بدأت ميتا محاسبة وكلاء الذكاء الاصطناعي بالتوكن: 2.00 دولار لكل مليون توكن، أي ما يقارب 4 إلى 5 سنتات للرسالة الذكية الواحدة.</w:t>
      </w:r>
    </w:p>
    <w:p>
      <w:pPr>
        <w:spacing w:after="60" w:before="0"/>
      </w:pP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وحملاتنا التسويقية تقع في أغلى تصنيف عند ميتا، وله ثلاث خصائص موجعة: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لا خصم كمّية — الرسالة رقم مئة ألف بسعر الأولى.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لا نافذة مجانية — تُحاسَب حتى لو راسلك العميل قبل دقيقة.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تُحاسَب على التسليم لا على الفتح ولا الرد.</w:t>
      </w:r>
    </w:p>
    <w:p>
      <w:pPr>
        <w:spacing w:after="100" w:before="0"/>
      </w:pPr>
    </w:p>
    <w:p>
      <w:pPr>
        <w:pStyle w:val="Heading3"/>
        <w:bidi/>
        <w:spacing w:after="90" w:before="200"/>
        <w:jc w:val="start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الأسعار التقريبية في أسواقنا المستهدفة (2026)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الدولة</w:t>
            </w:r>
          </w:p>
        </w:tc>
        <w:tc>
          <w:tcPr>
            <w:tcW w:type="dxa" w:w="30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رسالة تسويقية</w:t>
            </w:r>
          </w:p>
        </w:tc>
        <w:tc>
          <w:tcPr>
            <w:tcW w:type="dxa" w:w="296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رسالة خدمية أو تحقق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السعودية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0.17 – 0.21 ريال</w:t>
            </w:r>
          </w:p>
        </w:tc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0.04 – 0.06 ريال</w:t>
            </w:r>
          </w:p>
        </w:tc>
      </w:tr>
      <w:tr>
        <w:tc>
          <w:tcPr>
            <w:tcW w:type="dxa" w:w="34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الإمارات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0.16 – 0.18 درهم</w:t>
            </w:r>
          </w:p>
        </w:tc>
        <w:tc>
          <w:tcPr>
            <w:tcW w:type="dxa" w:w="29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0.039 – 0.057 درهم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مصر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0.064 دولار</w:t>
            </w:r>
          </w:p>
        </w:tc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0.0036 دولار</w:t>
            </w:r>
          </w:p>
        </w:tc>
      </w:tr>
      <w:tr>
        <w:tc>
          <w:tcPr>
            <w:tcW w:type="dxa" w:w="34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عُمان · الكويت · قطر · البحرين · الأردن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تحتاج تأكيداً من المزوّد</w:t>
            </w:r>
          </w:p>
        </w:tc>
        <w:tc>
          <w:tcPr>
            <w:tcW w:type="dxa" w:w="29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تحتاج تأكيداً من المزوّد</w:t>
            </w:r>
          </w:p>
        </w:tc>
      </w:tr>
    </w:tbl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ملاحظة: بدأت ميتا الفوترة بالعملة المحلية بالريال والدرهم خلال 2026، وهو ما يُلغي رسوم تحويل العملة التي كانت تضيف 2 إلى 5 بالمئة على الفوترة بالدولار.</w:t>
      </w:r>
    </w:p>
    <w:p>
      <w:pPr>
        <w:spacing w:after="80" w:before="0"/>
      </w:pPr>
    </w:p>
    <w:p>
      <w:pPr>
        <w:pBdr>
          <w:top w:val="single" w:color="166534" w:sz="2"/>
          <w:bottom w:val="single" w:color="166534" w:sz="2"/>
          <w:left w:val="single" w:color="166534" w:sz="2"/>
          <w:right w:val="single" w:color="166534" w:sz="2"/>
        </w:pBdr>
        <w:shd w:fill="DCFCE7" w:val="clear"/>
        <w:bidi/>
        <w:spacing w:after="200" w:before="16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ميزة لنا: </w:t>
      </w:r>
      <w:r>
        <w:rPr>
          <w:rFonts w:ascii="Arial" w:cs="Arial" w:eastAsia="Arial" w:hAnsi="Arial"/>
          <w:color w:val="166534"/>
          <w:sz w:val="21"/>
          <w:szCs w:val="21"/>
        </w:rPr>
        <w:t xml:space="preserve">نظامنا يستخدم مزوّده الخاص — Claude أو OpenAI أو Gemini — لا وكيل ميتا. فلا ندفع سعر التوكن لميتا، بل لمزوّدنا مباشرة وبتكلفة أقل، ولميتا رسوم تسليم الرسالة فقط. هذه نقطة بيع تستحق الذكر في العرض التسويقي.</w:t>
      </w:r>
    </w:p>
    <w:p>
      <w:pPr>
        <w:spacing w:after="200" w:before="0"/>
      </w:pP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السيناريو الأول — التمرير المباشر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العميل ينشئ حساب واتساب أعمال باسمه، ويضيف وسيلة دفعه عند ميتا، ونحن نربط بواجهة البرمجة عبر التسجيل المضمّن. فاتورة ميتا تصل إليه مباشرة ولا تمرّ علينا.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عند العميل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شاشة ربط واتساب تصير خطوتين: التفويض، ثم تأكيد أنه أضاف وسيلة دفع عند ميتا.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لا محفظة ولا رصيد ولا حصّة عندنا إطلاقاً.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تقدير التكلفة قبل الإرسال — إلزامي.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«هذه الحملة لخمسة آلاف رقم في السعودية تكلّف نحو 900 ريال تُخصم من حسابك عند ميتا». بدون هذا التقدير يتفاجأ العميل بالفاتورة ويحمّلنا المسؤولية.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حالة فشل جديدة: «توقفت الحملة — مشكلة في الدفع عند ميتا»، بنصٍّ يوجّهه إلى Business Manager لا إلى دعمنا.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استهلاكه يراه عند ميتا لا عندنا — وهذه نقطة إحباط متكرّرة.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عند الأدمن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أبسط لوحة بين الثلاثة: لا حساب تكلفة ولا هامش ولا تسوية. لكنها تحتاج ثلاث شاشات للدعم: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حالة حساب واتساب لكل عميل: مربوط · موقوف · محدود.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تقييم جودة الرقم من ميتا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(أخضر · أصفر · أحمر) — ينذر بالحظر قبل وقوعه.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حدّ الإرسال اليومي الذي تفرضه ميتا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(250 ثم 1,000 ثم 10,000 ثم 100,000 ثم بلا حد). بدون عرضه، يطلق العميل حملة لخمسين ألفاً وهو على حدّ ألف، فتفشل.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ما نحتاج بناءه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التسجيل المضمّن لواتساب.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محرك تقدير التكلفة — يحتاج جدول أسعار بالدولة على أي حال.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مزامنة حالة الحساب وجودة الرقم وحدّ الإرسال من ميتا.</w:t>
      </w:r>
    </w:p>
    <w:p>
      <w:pPr>
        <w:pBdr>
          <w:top w:val="single" w:color="92400E" w:sz="2"/>
          <w:bottom w:val="single" w:color="92400E" w:sz="2"/>
          <w:left w:val="single" w:color="92400E" w:sz="2"/>
          <w:right w:val="single" w:color="92400E" w:sz="2"/>
        </w:pBdr>
        <w:shd w:fill="FEF3C7" w:val="clear"/>
        <w:bidi/>
        <w:spacing w:after="200" w:before="16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الخلاصة: </w:t>
      </w:r>
      <w:r>
        <w:rPr>
          <w:rFonts w:ascii="Arial" w:cs="Arial" w:eastAsia="Arial" w:hAnsi="Arial"/>
          <w:color w:val="92400E"/>
          <w:sz w:val="21"/>
          <w:szCs w:val="21"/>
        </w:rPr>
        <w:t xml:space="preserve">أقل بناء وأقل مخاطرة، وأعلى احتكاك في التسجيل. نسبة معتبرة من العملاء الصغار تتعثّر في إعداد ميتا وتغادر.</w:t>
      </w:r>
    </w:p>
    <w:p>
      <w:r>
        <w:br w:type="page"/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السيناريو الثاني — الرصيد الداخلي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نحن نملك العلاقة مع ميتا وندفع لها، ونبيع للعميل رصيداً بهامش. العميل يشحن منّا.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عند العميل — وهنا الشغل الأكبر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الشاشة</w:t>
            </w:r>
          </w:p>
        </w:tc>
        <w:tc>
          <w:tcPr>
            <w:tcW w:type="dxa" w:w="676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تعرضه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مؤشّر دائم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الرصيد في الهيدر وفي صفحة الحملات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شحن الرصيد</w:t>
            </w:r>
          </w:p>
        </w:tc>
        <w:tc>
          <w:tcPr>
            <w:tcW w:type="dxa" w:w="67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صفحة شراء منفصلة عن الاشتراك — منتج ثانٍ بفاتورة ثانية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قبل الإرسال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«التكلفة 900 ريال · رصيدك 1,200 · المتبقي بعدها 300»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منع الإرسال</w:t>
            </w:r>
          </w:p>
        </w:tc>
        <w:tc>
          <w:tcPr>
            <w:tcW w:type="dxa" w:w="67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زر الإرسال مقفل إن لم يكفِ الرصيد، مع زر شحن سريع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كشف حساب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سجل حركات: شحن · خصم لكل حملة · استرداد الرسائل الفاشلة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تنبيه</w:t>
            </w:r>
          </w:p>
        </w:tc>
        <w:tc>
          <w:tcPr>
            <w:tcW w:type="dxa" w:w="67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عند انخفاض الرصيد تحت حدٍّ يضبطه العميل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شحن تلقائي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اختياري: «اشحن 100 دولار تلقائياً عند النزول تحت 20»</w:t>
            </w:r>
          </w:p>
        </w:tc>
      </w:tr>
    </w:tbl>
    <w:p>
      <w:pPr>
        <w:spacing w:after="100" w:before="0"/>
      </w:pPr>
    </w:p>
    <w:p>
      <w:pPr>
        <w:pBdr>
          <w:top w:val="single" w:color="991B1B" w:sz="2"/>
          <w:bottom w:val="single" w:color="991B1B" w:sz="2"/>
          <w:left w:val="single" w:color="991B1B" w:sz="2"/>
          <w:right w:val="single" w:color="991B1B" w:sz="2"/>
        </w:pBdr>
        <w:shd w:fill="FEE2E2" w:val="clear"/>
        <w:bidi/>
        <w:spacing w:after="200" w:before="16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نقطة تقنية حرجة: </w:t>
      </w:r>
      <w:r>
        <w:rPr>
          <w:rFonts w:ascii="Arial" w:cs="Arial" w:eastAsia="Arial" w:hAnsi="Arial"/>
          <w:color w:val="991B1B"/>
          <w:sz w:val="21"/>
          <w:szCs w:val="21"/>
        </w:rPr>
        <w:t xml:space="preserve">الخصم يجب أن يكون ذرّياً ومربوطاً بالتسليم — حجز عند بدء الحملة، تسوية عند التسليم الفعلي، وردّ الفرق عن الرسائل الفاشلة. غير ذلك نخصم على رسائل لم تصل، وهو أسرع طريق لفقدان الثقة.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عند الأدمن — تتحوّل إلى لوحة أعمال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جدول أسعار بالدولة والتصنيف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تسويقي وخدمي وتحقق، مضروباً في كل دولة مستهدفة. تكلفتنا من ميتا زائد الهامش تساوي سعر البيع.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تقرير الهامش: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دفعنا لميتا كذا، بعنا بكذا، الربح كذا — شهرياً ولكل عميل.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تسوية فاتورة ميتا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شهرياً مع مجموع ما خصمناه. أي فرق يعني خطأً في الحساب.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شحن يدوي لرصيد عميل — تعويضاً عن عطل أو دعماً لصفقة مبيعات.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تنبيه على الاستهلاك الشاذ — رقم يحرق عشرة آلاف رسالة فجأة غالباً مخترق.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قائمة العملاء ذوي الرصيد السالب، إن سمحنا بالسحب على المكشوف.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ما نحتاج بناءه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نظام محفظة كامل: رصيد · حركات · شحن · خصم ذرّي · استرداد.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جدول أسعار بالدولة والتصنيف، قابل للتحديث من لوحة الأدمن.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تسوية شهرية مع فاتورة ميتا، وتقرير هامش.</w:t>
      </w:r>
    </w:p>
    <w:p>
      <w:pPr>
        <w:pBdr>
          <w:top w:val="single" w:color="92400E" w:sz="2"/>
          <w:bottom w:val="single" w:color="92400E" w:sz="2"/>
          <w:left w:val="single" w:color="92400E" w:sz="2"/>
          <w:right w:val="single" w:color="92400E" w:sz="2"/>
        </w:pBdr>
        <w:shd w:fill="FEF3C7" w:val="clear"/>
        <w:bidi/>
        <w:spacing w:after="200" w:before="160" w:line="300"/>
        <w:ind w:left="180" w:right="180"/>
        <w:jc w:val="start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الخلاصة: </w:t>
      </w:r>
      <w:r>
        <w:rPr>
          <w:rFonts w:ascii="Arial" w:cs="Arial" w:eastAsia="Arial" w:hAnsi="Arial"/>
          <w:color w:val="92400E"/>
          <w:sz w:val="21"/>
          <w:szCs w:val="21"/>
        </w:rPr>
        <w:t xml:space="preserve">أعلى دخل وأعلى تعقيد. ننتقل من بائع اشتراكات إلى بائع اتصالات، ومعها مسؤولية ائتمانية ومحاسبية وتنظيمية حقيقية.</w:t>
      </w:r>
    </w:p>
    <w:p>
      <w:r>
        <w:br w:type="page"/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السيناريو الثالث — مشمول في الباقة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حصّة رسائل داخل الباقة، ونحن نمتصّ التكلفة.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عند العميل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أبسط تجربة بين الثلاثة: عدّاد واحد — «استهلكت 3,200 من 10,000 هذا الشهر». لا محفظة ولا شحن ولا حسابات.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عند الأدمن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استهلاك كل عميل مقابل تكلفته الفعلية علينا.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قائمة العملاء الخاسرين — من تجاوزت تكلفتهم اشتراكهم.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والسؤال الذي لا جواب سهل له: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ماذا يحدث حين تنفد الحصّة؟ نوقف الخدمة فيغضب، أم نكمل فنخسر؟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الخطر القاتل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التكلفة تختلف نحو عشرين ضعفاً بين الدول. حصّة موحّدة من عشرة آلاف رسالة تعني: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العميل</w:t>
            </w:r>
          </w:p>
        </w:tc>
        <w:tc>
          <w:tcPr>
            <w:tcW w:type="dxa" w:w="42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تكلفة عشرة آلاف رسالة تسويقية</w:t>
            </w:r>
          </w:p>
        </w:tc>
        <w:tc>
          <w:tcPr>
            <w:tcW w:type="dxa" w:w="256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على باقة الأعمال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عميل مصري</w:t>
            </w:r>
          </w:p>
        </w:tc>
        <w:tc>
          <w:tcPr>
            <w:tcW w:type="dxa" w:w="42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نحو 640 دولاراً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99 دولاراً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عميل خليجي</w:t>
            </w:r>
          </w:p>
        </w:tc>
        <w:tc>
          <w:tcPr>
            <w:tcW w:type="dxa" w:w="42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أضعاف ذلك</w:t>
            </w:r>
          </w:p>
        </w:tc>
        <w:tc>
          <w:tcPr>
            <w:tcW w:type="dxa" w:w="25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99 دولاراً</w:t>
            </w:r>
          </w:p>
        </w:tc>
      </w:tr>
    </w:tbl>
    <w:p>
      <w:pPr>
        <w:bidi/>
        <w:spacing w:after="120" w:before="60" w:line="300"/>
        <w:jc w:val="start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أي أن الحصّة الموحّدة تخسرنا بشكل منهجي في الدول الغالية — وهي بالضبط أسواقنا المستهدفة.</w:t>
      </w:r>
    </w:p>
    <w:p>
      <w:r>
        <w:br w:type="page"/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مقارنة سريعة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360"/>
        <w:gridCol w:w="2350"/>
      </w:tblGrid>
      <w:tr>
        <w:trPr>
          <w:tblHeader/>
        </w:trPr>
        <w:tc>
          <w:tcPr>
            <w:tcW w:type="dxa" w:w="23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المعيار</w:t>
            </w:r>
          </w:p>
        </w:tc>
        <w:tc>
          <w:tcPr>
            <w:tcW w:type="dxa" w:w="235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التمرير المباشر</w:t>
            </w:r>
          </w:p>
        </w:tc>
        <w:tc>
          <w:tcPr>
            <w:tcW w:type="dxa" w:w="236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الرصيد الداخلي</w:t>
            </w:r>
          </w:p>
        </w:tc>
        <w:tc>
          <w:tcPr>
            <w:tcW w:type="dxa" w:w="235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مشمول في الباقة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حجم البناء</w:t>
            </w:r>
          </w:p>
        </w:tc>
        <w:tc>
          <w:tcPr>
            <w:tcW w:type="dxa" w:w="235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صغير</w:t>
            </w:r>
          </w:p>
        </w:tc>
        <w:tc>
          <w:tcPr>
            <w:tcW w:type="dxa" w:w="236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كبير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متوسط</w:t>
            </w:r>
          </w:p>
        </w:tc>
      </w:tr>
      <w:tr>
        <w:tc>
          <w:tcPr>
            <w:tcW w:type="dxa" w:w="23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مخاطرتنا المالية</w:t>
            </w:r>
          </w:p>
        </w:tc>
        <w:tc>
          <w:tcPr>
            <w:tcW w:type="dxa" w:w="235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لا شيء</w:t>
            </w:r>
          </w:p>
        </w:tc>
        <w:tc>
          <w:tcPr>
            <w:tcW w:type="dxa" w:w="23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235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عالية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احتكاك التسجيل</w:t>
            </w:r>
          </w:p>
        </w:tc>
        <w:tc>
          <w:tcPr>
            <w:tcW w:type="dxa" w:w="235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عالٍ</w:t>
            </w:r>
          </w:p>
        </w:tc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235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منخفض</w:t>
            </w:r>
          </w:p>
        </w:tc>
      </w:tr>
      <w:tr>
        <w:tc>
          <w:tcPr>
            <w:tcW w:type="dxa" w:w="23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مصدر دخل إضافي</w:t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لا</w:t>
            </w:r>
          </w:p>
        </w:tc>
        <w:tc>
          <w:tcPr>
            <w:tcW w:type="dxa" w:w="236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نعم — بهامش</w:t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لا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تعقيد لوحة الأدمن</w:t>
            </w:r>
          </w:p>
        </w:tc>
        <w:tc>
          <w:tcPr>
            <w:tcW w:type="dxa" w:w="235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منخفض</w:t>
            </w:r>
          </w:p>
        </w:tc>
        <w:tc>
          <w:tcPr>
            <w:tcW w:type="dxa" w:w="236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عالٍ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متوسط</w:t>
            </w:r>
          </w:p>
        </w:tc>
      </w:tr>
      <w:tr>
        <w:tc>
          <w:tcPr>
            <w:tcW w:type="dxa" w:w="23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من يشعر بالتكلفة</w:t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العميل مباشرة</w:t>
            </w:r>
          </w:p>
        </w:tc>
        <w:tc>
          <w:tcPr>
            <w:tcW w:type="dxa" w:w="23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العميل عند الشحن</w:t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نحن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يصمد مع الحجم الكبير</w:t>
            </w:r>
          </w:p>
        </w:tc>
        <w:tc>
          <w:tcPr>
            <w:tcW w:type="dxa" w:w="235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نعم</w:t>
            </w:r>
          </w:p>
        </w:tc>
        <w:tc>
          <w:tcPr>
            <w:tcW w:type="dxa" w:w="2360"/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نعم</w:t>
            </w:r>
          </w:p>
        </w:tc>
        <w:tc>
          <w:tcPr>
            <w:tcW w:type="dxa" w:w="235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لا</w:t>
            </w:r>
          </w:p>
        </w:tc>
      </w:tr>
    </w:tbl>
    <w:p>
      <w:pPr>
        <w:spacing w:after="200" w:before="0"/>
      </w:pP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التوصية — هجين بين الثالث والثاني</w:t>
      </w: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هذا ما يفعله المنافسون عملياً. لقطة باقات BEON تؤكّده: لديهم حصّة Broadcasts منفصلة تماماً عن حصّة المحادثات.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الباقة</w:t>
            </w:r>
          </w:p>
        </w:tc>
        <w:tc>
          <w:tcPr>
            <w:tcW w:type="dxa" w:w="312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مشمول شهرياً</w:t>
            </w:r>
          </w:p>
        </w:tc>
        <w:tc>
          <w:tcPr>
            <w:tcW w:type="dxa" w:w="312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زاد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البداية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لا شيء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بالرصيد</w:t>
            </w:r>
          </w:p>
        </w:tc>
      </w:tr>
      <w:tr>
        <w:tc>
          <w:tcPr>
            <w:tcW w:type="dxa" w:w="312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الاحترافية</w:t>
            </w:r>
          </w:p>
        </w:tc>
        <w:tc>
          <w:tcPr>
            <w:tcW w:type="dxa" w:w="312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500 رسالة</w:t>
            </w:r>
          </w:p>
        </w:tc>
        <w:tc>
          <w:tcPr>
            <w:tcW w:type="dxa" w:w="312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بالرصيد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الأعمال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2,000 رسالة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بالرصيد</w:t>
            </w:r>
          </w:p>
        </w:tc>
      </w:tr>
      <w:tr>
        <w:tc>
          <w:tcPr>
            <w:tcW w:type="dxa" w:w="312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المؤسسات</w:t>
            </w:r>
          </w:p>
        </w:tc>
        <w:tc>
          <w:tcPr>
            <w:tcW w:type="dxa" w:w="312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يُتّفق عليه</w:t>
            </w:r>
          </w:p>
        </w:tc>
        <w:tc>
          <w:tcPr>
            <w:tcW w:type="dxa" w:w="312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بالرصيد</w:t>
            </w:r>
          </w:p>
        </w:tc>
      </w:tr>
    </w:tbl>
    <w:p>
      <w:pPr>
        <w:spacing w:after="140" w:before="0"/>
      </w:pP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لماذا يعمل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الحصّة المشمولة تكفي ليجرّب ويرى القيمة دون احتكاك الشحن — وهذه أهم لحظة في رحلة العميل.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الحجم الحقيقي يمرّ بالرصيد، فلا نخسر على العميل كثيف الإرسال.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الحصّة تُسعَّر بأغلى دولة لدينا، فتبقى مربحة في كل الأسواق.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نتجنّب صدمة «توقفت الخدمة» لأن الرصيد يكمل بعد الحصّة.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التنفيذ على مرحلتين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760"/>
        <w:gridCol w:w="1700"/>
      </w:tblGrid>
      <w:tr>
        <w:trPr>
          <w:tblHeader/>
        </w:trPr>
        <w:tc>
          <w:tcPr>
            <w:tcW w:type="dxa" w:w="19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المرحلة</w:t>
            </w:r>
          </w:p>
        </w:tc>
        <w:tc>
          <w:tcPr>
            <w:tcW w:type="dxa" w:w="576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تشمله</w:t>
            </w:r>
          </w:p>
        </w:tc>
        <w:tc>
          <w:tcPr>
            <w:tcW w:type="dxa" w:w="1700"/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الحجم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الأولى — الحصّة</w:t>
            </w:r>
          </w:p>
        </w:tc>
        <w:tc>
          <w:tcPr>
            <w:tcW w:type="dxa" w:w="5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حقل limits.campaignMessages على النوع Plan · عدّاد استهلاك شهري · عرضه عند العميل وعند الأدمن · جدول أسعار بالدولة لتقدير التكلفة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أسابيع</w:t>
            </w:r>
          </w:p>
        </w:tc>
      </w:tr>
      <w:tr>
        <w:tc>
          <w:tcPr>
            <w:tcW w:type="dxa" w:w="19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الثانية — المحفظة</w:t>
            </w:r>
          </w:p>
        </w:tc>
        <w:tc>
          <w:tcPr>
            <w:tcW w:type="dxa" w:w="576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رصيد وحركات وشحن · خصم ذرّي مربوط بالتسليم مع استرداد · تسوية فاتورة ميتا · تقرير الهامش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أكبر بكثير</w:t>
            </w:r>
          </w:p>
        </w:tc>
      </w:tr>
    </w:tbl>
    <w:p>
      <w:pPr>
        <w:bidi/>
        <w:spacing w:after="120" w:before="60" w:line="300"/>
        <w:jc w:val="star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المرحلة الأولى وحدها تجعل الحصّة قابلة للبيع وتغلق أهم ثغرة في مصفوفة الباقات، دون انتظار المحفظة.</w:t>
      </w:r>
    </w:p>
    <w:p>
      <w:r>
        <w:br w:type="page"/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ما نملكه اليوم وما ينقصنا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جاهز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creditBalance و creditWarningEnabled و creditWarningThreshold و monthlyLimit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موجودة في إعدادات الذكاء الاصطناعي مع تبويب «الميزات والرصيد». هيكل المحفظة نصفه مبني وإن كان لغرض آخر.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Invoice.items[]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يقبل بنوداً بوصف وكمية وسعر وحدة ومجموع، أي أن الفاتورة تستوعب بند استهلاك دون تعديل على النوع.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Campaign.targetCount و sentCount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أساس أي عدّاد استهلاك.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التحكم في سرعة الإرسال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أربع سرعات جاهزة ومؤشّر خطر وتقدير مدة، مبنية بالكامل في شاشة إنشاء الحملة.</w:t>
      </w:r>
    </w:p>
    <w:p>
      <w:pPr>
        <w:pStyle w:val="Heading2"/>
        <w:bidi/>
        <w:spacing w:after="120" w:before="260"/>
        <w:jc w:val="start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ناقص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limits.campaignMessages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لا حقل للحصّة على النوع Plan. الصف معروض في مصفوفة الباقات بلا شيء وراءه.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جدول أسعار بالدولة والتصنيف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مطلوب في السيناريوهات الثلاثة، ولو لمجرّد تقدير التكلفة.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عدّاد استهلاك شهري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لا يوجد عدّ للرسائل المرسلة مقابل حدٍّ ما.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minDelay و maxDelay على النوع Campaign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سرعة الإرسال تُضبط في النموذج وتُفقد عند الحفظ.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طبقة تطبيق الحدود —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لا يوجد في الكود ما يمنع تجاوز أي حدّ من حدود الباقة. أي حصّة نضيفها ستكون معروضة لا مطبّقة حتى تُبنى هذه الطبقة.</w:t>
      </w:r>
    </w:p>
    <w:p>
      <w:pPr>
        <w:pStyle w:val="Heading1"/>
        <w:bidi/>
        <w:spacing w:after="160" w:before="360"/>
        <w:jc w:val="start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أسئلة مفتوحة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هل نتحمّل مسؤولية العلاقة مع ميتا (سيناريو 2) أم نتركها للعميل (سيناريو 1)؟ القرار تنظيمي ومالي قبل أن يكون تقنياً.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ما هامشنا على الرسالة إن بعنا رصيداً؟ يحدّد جدوى السيناريو الثاني كله.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عند نفاد الحصّة قبل بناء المحفظة: نوقف الحملات أم نسمح بالتجاوز ونحاسب لاحقاً؟</w:t>
      </w:r>
    </w:p>
    <w:p>
      <w:pPr>
        <w:bidi/>
        <w:spacing w:after="70" w:before="50" w:line="290"/>
        <w:ind w:start="300" w:hanging="220"/>
        <w:jc w:val="start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حصّة الردود الذكية — وهي بند منفصل عن رسائل الحملات — تحتاج الحساب نفسه: 2,000 رد شهرياً على باقة بـ 49 دولاراً تكلّف 90 دولاراً بسعر وكيل ميتا. مزوّدنا الخاص أرخص، لكن الرقم يحتاج تثبيتاً بالأرقام الفعلية.</w:t>
      </w:r>
    </w:p>
    <w:p>
      <w:pPr>
        <w:spacing w:after="300" w:before="0"/>
      </w:pPr>
    </w:p>
    <w:p>
      <w:pPr>
        <w:bidi/>
        <w:spacing w:after="120" w:before="60" w:line="300"/>
        <w:jc w:val="start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المصادر: وثائق تسعير منصة واتساب للأعمال من Meta · تقارير تسعير Meta Business Agent لأغسطس 2026 · لقطة صفحة باقات BEON · صفحة أسعار respond.io ومراجعات 2026.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403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2026-09-16T09:01:33.783Z</dcterms:created>
  <dcterms:modified xsi:type="dcterms:W3CDTF">2026-09-16T09:01:33.784Z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