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8</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فاصل مرقّم بين دورات المحادثة داخل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7</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انعكاس حالة «مجدولة» للتخفيض المؤجّل في بورتال العميل</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6</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إعادة تصميم شريط الفهرسة على هيئة مسطرة تظهر عند الاقتراب</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8bb2487f-c80a-4577-a876-61061b147ecc</w:t>
            </w:r>
          </w:p>
          <w:p>
            <w:pPr>
              <w:bidi/>
              <w:spacing w:after="60" w:line="290"/>
              <w:jc w:val="right"/>
            </w:pPr>
            <w:r>
              <w:rPr>
                <w:rFonts w:ascii="Arial" w:cs="Arial" w:eastAsia="Arial" w:hAnsi="Arial"/>
                <w:color w:val="1E293B"/>
                <w:sz w:val="20"/>
                <w:szCs w:val="20"/>
                <w:rtl/>
              </w:rPr>
              <w:t xml:space="preserve">يوجد 2 تعديل مرفوع على الفرع ولم يُنشر بعد — مبيّن في الجدول أعلاه.</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8 — فاصل مرقّم بين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w:t>
            </w:r>
          </w:p>
        </w:tc>
        <w:tc>
          <w:tcPr>
            <w:tcW w:type="dxa" w:w="15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كل دورة جديدة صار يسبقها فاصل أفقي ظاهر داخل الثريد، فيُعرف أين انتهت دورة وبدأت التي تليها من غير رجوع إلى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يحمل رقم الدورة وكلمة «إعادة فتح» والتاريخ، فيجيب عن ثلاثة أسئلة في سطر: أي دورة، وماذا جرى، ومتى.</w:t>
      </w:r>
    </w:p>
    <w:p>
      <w:pPr>
        <w:pStyle w:val="ListParagraph"/>
        <w:numPr>
          <w:ilvl w:val="0"/>
          <w:numId w:val="2"/>
        </w:numPr>
        <w:bidi/>
        <w:spacing w:after="70" w:line="290"/>
        <w:jc w:val="right"/>
      </w:pPr>
      <w:r>
        <w:rPr>
          <w:rFonts w:ascii="Arial" w:cs="Arial" w:eastAsia="Arial" w:hAnsi="Arial"/>
          <w:color w:val="1E293B"/>
          <w:sz w:val="21"/>
          <w:szCs w:val="21"/>
          <w:rtl/>
        </w:rPr>
        <w:t xml:space="preserve">صيغته بلون العلامة التجارية بخطّين وشارة بارزة، لأن المطلوب أن يُلاحَظ لا أن يمرّ مرور الكرام.</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يحلّ محلّ شريحة التاريخ العادية في ذلك الموضع لأنه يحمل التاريخ أصلاً، فلا يجتمع فاصلان متتاليان.</w:t>
      </w:r>
    </w:p>
    <w:p>
      <w:pPr>
        <w:pStyle w:val="ListParagraph"/>
        <w:numPr>
          <w:ilvl w:val="0"/>
          <w:numId w:val="2"/>
        </w:numPr>
        <w:bidi/>
        <w:spacing w:after="70" w:line="290"/>
        <w:jc w:val="right"/>
      </w:pPr>
      <w:r>
        <w:rPr>
          <w:rFonts w:ascii="Arial" w:cs="Arial" w:eastAsia="Arial" w:hAnsi="Arial"/>
          <w:color w:val="1E293B"/>
          <w:sz w:val="21"/>
          <w:szCs w:val="21"/>
          <w:rtl/>
        </w:rPr>
        <w:t xml:space="preserve">لا يظهر قبل الدورة الأولى لأنها بداية المحادثة لا إعادة فتح لها.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الدورة ذات البداية المستنتجة تُوسم «(تقديري)» في الفاصل نفسه، اتساقاً مع العلامة المتقطّعة في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الترقيم يتبع رقم الدورة (الدورة 2، الدورة 3) لا رقم إعادة الفتح، ليطابق ما يعرضه شريط الفهرسة وحقل sessionCount ولا يتضارب معهما.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فاصلان بالرقمين الصحيحين، وشريحة التاريخ المكرّرة اختفت من موضعيهما.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7 — انعكاس حالة «مجدولة» للتخفيض المؤجّل في بورتال العميل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src/types/index.ts · src/pages/Billing.tsx · src/store/adminMockData.ts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w:t>
            </w:r>
          </w:p>
        </w:tc>
        <w:tc>
          <w:tcPr>
            <w:tcW w:type="dxa" w:w="15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الاشتراك الذي عليه تخفيض مؤجّل إلى تاريخ لاحق صارت حالته «مجدولة» ظاهرة للعميل، لا في بورتال الإدارة وحده.</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الحقل scheduledChange إلى الاشتراك ويحمل الباقة المستهدفة ودورة الفوترة وتاريخ السريان، وأُضيفت «مجدولة» إلى حالات الفاتورة.</w:t>
      </w:r>
    </w:p>
    <w:p>
      <w:pPr>
        <w:pStyle w:val="ListParagraph"/>
        <w:numPr>
          <w:ilvl w:val="0"/>
          <w:numId w:val="2"/>
        </w:numPr>
        <w:bidi/>
        <w:spacing w:after="70" w:line="290"/>
        <w:jc w:val="right"/>
      </w:pPr>
      <w:r>
        <w:rPr>
          <w:rFonts w:ascii="Arial" w:cs="Arial" w:eastAsia="Arial" w:hAnsi="Arial"/>
          <w:color w:val="1E293B"/>
          <w:sz w:val="21"/>
          <w:szCs w:val="21"/>
          <w:rtl/>
        </w:rPr>
        <w:t xml:space="preserve">بطاقة الاشتراك تعرض شارة «مجدولة» وجملة صريحة تذكر اسم الباقة المستهدفة وتاريخ التحويل، وتؤكّد أن الباقة الحالية ومزاياها مستمرة حتى ذلك التاريخ — فلا يظن العميل أن باقته انخفضت الآن.</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الفواتير وفلاترها ونافذة معاينة الفاتورة تعرض الحالة نفسها.</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مشتقّة من الاشتراك لا مخزّنة على الفاتورة: إلغاء الجدولة يُزيلها من كل المواضع في آن واحد، بدل أن تبقى فاتورة تحمل حالة قديمة.</w:t>
      </w:r>
    </w:p>
    <w:p>
      <w:pPr>
        <w:pStyle w:val="ListParagraph"/>
        <w:numPr>
          <w:ilvl w:val="0"/>
          <w:numId w:val="2"/>
        </w:numPr>
        <w:bidi/>
        <w:spacing w:after="70" w:line="290"/>
        <w:jc w:val="right"/>
      </w:pPr>
      <w:r>
        <w:rPr>
          <w:rFonts w:ascii="Arial" w:cs="Arial" w:eastAsia="Arial" w:hAnsi="Arial"/>
          <w:color w:val="1E293B"/>
          <w:sz w:val="21"/>
          <w:szCs w:val="21"/>
          <w:rtl/>
        </w:rPr>
        <w:t xml:space="preserve">قرار مقصود: الاشتقاق يطال الفواتير غير المسدّدة فقط (معلّقة ومسودة). الفاتورة المدفوعة أو المستردة أو الملغاة أو الفاشلة تحتفظ بحالتها، وكذلك المتأخرة لأن التأخّر مشكلة سداد لا يصح حجبها خلف حالة الجدولة.</w:t>
      </w:r>
    </w:p>
    <w:p>
      <w:pPr>
        <w:pStyle w:val="ListParagraph"/>
        <w:numPr>
          <w:ilvl w:val="0"/>
          <w:numId w:val="2"/>
        </w:numPr>
        <w:bidi/>
        <w:spacing w:after="70" w:line="290"/>
        <w:jc w:val="right"/>
      </w:pPr>
      <w:r>
        <w:rPr>
          <w:rFonts w:ascii="Arial" w:cs="Arial" w:eastAsia="Arial" w:hAnsi="Arial"/>
          <w:color w:val="1E293B"/>
          <w:sz w:val="21"/>
          <w:szCs w:val="21"/>
          <w:rtl/>
        </w:rPr>
        <w:t xml:space="preserve">زر «إلغاء الجدولة» إجراء إداري بحسب المواصفة، فبورتال العميل يعرض الحالة دون التحكم فيها.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جدولة تجريبية لعميل العرض (تحويل من الأعمال إلى الاحترافي بعد 15 يوماً) لتصير الحالة قابلة للمعاينة.</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الشارة والجملة والفلتر وحالتا الفاتورتين غير المسدّدتين ظهرت، والفاتورتان المدفوعتان بقيتا «مدفوعة».</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6 — إعادة تصميم شريط الفهرسة على هيئة مسطرة تظهر عند الاقتراب</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4163939</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الشكل السابق كان كتلاً سميكة بينها فجوات، فكان يُقرأ كشريط تقدّم مكسور لا كأداة تنقّل. صار الآن مسطرة: خطّ شعري على حافة الثريد وعليه علامات رفيعة عند بدايات الدورات.</w:t>
      </w:r>
    </w:p>
    <w:p>
      <w:pPr>
        <w:pStyle w:val="ListParagraph"/>
        <w:numPr>
          <w:ilvl w:val="0"/>
          <w:numId w:val="2"/>
        </w:numPr>
        <w:bidi/>
        <w:spacing w:after="70" w:line="290"/>
        <w:jc w:val="right"/>
      </w:pPr>
      <w:r>
        <w:rPr>
          <w:rFonts w:ascii="Arial" w:cs="Arial" w:eastAsia="Arial" w:hAnsi="Arial"/>
          <w:color w:val="1E293B"/>
          <w:sz w:val="21"/>
          <w:szCs w:val="21"/>
          <w:rtl/>
        </w:rPr>
        <w:t xml:space="preserve">العلامات مجمّعة في منتصف ارتفاع الحافة كمجموعة واحدة مرتّبة، لا موزّعة على كامل الطول.</w:t>
      </w:r>
    </w:p>
    <w:p>
      <w:pPr>
        <w:pStyle w:val="ListParagraph"/>
        <w:numPr>
          <w:ilvl w:val="0"/>
          <w:numId w:val="2"/>
        </w:numPr>
        <w:bidi/>
        <w:spacing w:after="70" w:line="290"/>
        <w:jc w:val="right"/>
      </w:pPr>
      <w:r>
        <w:rPr>
          <w:rFonts w:ascii="Arial" w:cs="Arial" w:eastAsia="Arial" w:hAnsi="Arial"/>
          <w:color w:val="1E293B"/>
          <w:sz w:val="21"/>
          <w:szCs w:val="21"/>
          <w:rtl/>
        </w:rPr>
        <w:t xml:space="preserve">جُرّب توزيعها على مواضعها النسبية من ارتفاع التمرير أولاً، ثم استُبدل بالتجميع في المنتصف بقرار من الإدارة: الشكل المرتّب فُضّل على دلالة الموضع. أُزيل معه كود القياس ومراقب تغيّر الحجم لأنه لم يعد له عمل.</w:t>
      </w:r>
    </w:p>
    <w:p>
      <w:pPr>
        <w:pStyle w:val="ListParagraph"/>
        <w:numPr>
          <w:ilvl w:val="0"/>
          <w:numId w:val="2"/>
        </w:numPr>
        <w:bidi/>
        <w:spacing w:after="70" w:line="290"/>
        <w:jc w:val="right"/>
      </w:pPr>
      <w:r>
        <w:rPr>
          <w:rFonts w:ascii="Arial" w:cs="Arial" w:eastAsia="Arial" w:hAnsi="Arial"/>
          <w:color w:val="1E293B"/>
          <w:sz w:val="21"/>
          <w:szCs w:val="21"/>
          <w:rtl/>
        </w:rPr>
        <w:t xml:space="preserve">المسطرة باهتة في الوضع العادي وتتوضّح بالكامل عند اقتراب المؤشر من الحافة أو عند وصول لوحة المفاتيح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أُبقي أثر خافت دائم بدل الإخفاء التام: ميزة لا يدل عليها شيء لا يعرفها أحد، والإخفاء الكامل كان سيجعلها غير قابلة للاكتشاف.</w:t>
      </w:r>
    </w:p>
    <w:p>
      <w:pPr>
        <w:pStyle w:val="ListParagraph"/>
        <w:numPr>
          <w:ilvl w:val="0"/>
          <w:numId w:val="2"/>
        </w:numPr>
        <w:bidi/>
        <w:spacing w:after="70" w:line="290"/>
        <w:jc w:val="right"/>
      </w:pPr>
      <w:r>
        <w:rPr>
          <w:rFonts w:ascii="Arial" w:cs="Arial" w:eastAsia="Arial" w:hAnsi="Arial"/>
          <w:color w:val="1E293B"/>
          <w:sz w:val="21"/>
          <w:szCs w:val="21"/>
          <w:rtl/>
        </w:rPr>
        <w:t xml:space="preserve">صارت طبقة عائمة (overlay) بدل عمود يحجز عرضاً ثابتاً، فرجع نحو 36 بكسل لمساحة الرسائل.</w:t>
      </w:r>
    </w:p>
    <w:p>
      <w:pPr>
        <w:pStyle w:val="ListParagraph"/>
        <w:numPr>
          <w:ilvl w:val="0"/>
          <w:numId w:val="2"/>
        </w:numPr>
        <w:bidi/>
        <w:spacing w:after="70" w:line="290"/>
        <w:jc w:val="right"/>
      </w:pPr>
      <w:r>
        <w:rPr>
          <w:rFonts w:ascii="Arial" w:cs="Arial" w:eastAsia="Arial" w:hAnsi="Arial"/>
          <w:color w:val="1E293B"/>
          <w:sz w:val="21"/>
          <w:szCs w:val="21"/>
          <w:rtl/>
        </w:rPr>
        <w:t xml:space="preserve">وُضعت بعد شريط التمرير بمقدار 8 بكسل حتى لا تحجب سحبه.</w:t>
      </w:r>
    </w:p>
    <w:p>
      <w:pPr>
        <w:pStyle w:val="ListParagraph"/>
        <w:numPr>
          <w:ilvl w:val="0"/>
          <w:numId w:val="2"/>
        </w:numPr>
        <w:bidi/>
        <w:spacing w:after="70" w:line="290"/>
        <w:jc w:val="right"/>
      </w:pPr>
      <w:r>
        <w:rPr>
          <w:rFonts w:ascii="Arial" w:cs="Arial" w:eastAsia="Arial" w:hAnsi="Arial"/>
          <w:color w:val="1E293B"/>
          <w:sz w:val="21"/>
          <w:szCs w:val="21"/>
          <w:rtl/>
        </w:rPr>
        <w:t xml:space="preserve">التمييز بين المؤكَّد والمقدَّر بقي قائماً بصرياً: علامة متصلة للدورة المسجّلة، ومتقطّعة للمستنتَجة، مع بقاء «بداية تقديرية» في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تنازل مقصود: الشكل السابق كان يعبّر عن حجم كل دورة بارتفاعها، والمسطرة لا تفعل. حجم الدورة انتقل إلى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مجموعة العلامات تقبل التمرير داخلها إن كثرت الدورات حتى لا تتجاوز ارتفاع اللوحة. ولأن ذلك يقصّ التلميح، رُفع التلميح خارج المجموعة ويُحاذى رأسياً بالعلامة المؤشَّر عليها بالقياس.</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العلامات الثلاث متجمّعة في المنتصف، والتوضّح بالاقتراب والتلميح والانتقال تعمل.</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8</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2026-09-10T09:41:03.699Z</dcterms:created>
  <dcterms:modified xsi:type="dcterms:W3CDTF">2026-09-10T09:41:03.699Z</dcterms:modified>
</cp:coreProperties>
</file>

<file path=docProps/custom.xml><?xml version="1.0" encoding="utf-8"?>
<Properties xmlns="http://schemas.openxmlformats.org/officeDocument/2006/custom-properties" xmlns:vt="http://schemas.openxmlformats.org/officeDocument/2006/docPropsVTypes"/>
</file>