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Exercise 2:</w:t>
      </w:r>
      <w:r w:rsidDel="00000000" w:rsidR="00000000" w:rsidRPr="00000000">
        <w:rPr>
          <w:rtl w:val="0"/>
        </w:rPr>
        <w:t xml:space="preserve"> Create a shortcut for the folder “family” from “Exercise 2” using all the methods you know.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ff0000"/>
          <w:rtl w:val="0"/>
        </w:rPr>
        <w:t xml:space="preserve">Done while Sergio was explaining it → Corrected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 we need to add a network location (Right-click on “This PC” and “Add a network location”)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23050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 we click “Choose a custom network location” and then put the shared folder path: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22955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410200" cy="1733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After this we will finish the process and, alternatively, we will do like we did in Exercise 2: we will go to “Map Network Device”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1743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have to put the shared folder’s path  and check “Reconnect at sign-in”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Finally, this will be the result: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895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ALFREDO PUERTA GALLEGO DW1E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