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Distribution Analysis</w:t>
      </w:r>
    </w:p>
    <w:p/>
    <w:p>
      <w:r>
        <w:t>The following charts visualize the distribution of security findings across different risk categories, compliance frameworks, and timelines.</w:t>
      </w:r>
    </w:p>
    <w:p/>
    <w:p>
      <w:pPr>
        <w:pStyle w:val="Heading2"/>
      </w:pPr>
      <w:r>
        <w:t>Findings by Risk Level</w:t>
      </w:r>
    </w:p>
    <w:p>
      <w:r>
        <w:rPr>
          <w:i/>
        </w:rPr>
        <w:t>[CHART: Risk Distribution - Critical: {{ critical_count }}, High: {{ high_count }}, Medium: {{ medium_count }}, Low: {{ low_count }}]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{{ critical_count }}</w:t>
            </w:r>
          </w:p>
        </w:tc>
        <w:tc>
          <w:tcPr>
            <w:tcW w:type="dxa" w:w="2880"/>
          </w:tcPr>
          <w:p>
            <w:r>
              <w:t>{{ critical_percentage }}%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{{ high_count }}</w:t>
            </w:r>
          </w:p>
        </w:tc>
        <w:tc>
          <w:tcPr>
            <w:tcW w:type="dxa" w:w="2880"/>
          </w:tcPr>
          <w:p>
            <w:r>
              <w:t>{{ high_percentage }}%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{{ medium_count }}</w:t>
            </w:r>
          </w:p>
        </w:tc>
        <w:tc>
          <w:tcPr>
            <w:tcW w:type="dxa" w:w="2880"/>
          </w:tcPr>
          <w:p>
            <w:r>
              <w:t>{{ medium_percentage }}%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{{ low_count }}</w:t>
            </w:r>
          </w:p>
        </w:tc>
        <w:tc>
          <w:tcPr>
            <w:tcW w:type="dxa" w:w="2880"/>
          </w:tcPr>
          <w:p>
            <w:r>
              <w:t>{{ low_percentage }}%</w:t>
            </w:r>
          </w:p>
        </w:tc>
      </w:tr>
      <w:tr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{{ informational_count }}</w:t>
            </w:r>
          </w:p>
        </w:tc>
        <w:tc>
          <w:tcPr>
            <w:tcW w:type="dxa" w:w="2880"/>
          </w:tcPr>
          <w:p>
            <w:r>
              <w:t>{{ informational_percentage }}%</w:t>
            </w:r>
          </w:p>
        </w:tc>
      </w:tr>
    </w:tbl>
    <w:p/>
    <w:p>
      <w:pPr>
        <w:pStyle w:val="Heading2"/>
      </w:pPr>
      <w:r>
        <w:t>OWASP Top 10 Distribution</w:t>
      </w:r>
    </w:p>
    <w:p>
      <w:r>
        <w:rPr>
          <w:i/>
        </w:rPr>
        <w:t>[CHART: OWASP Category Distribution]</w:t>
      </w:r>
    </w:p>
    <w:p/>
    <w:p>
      <w:pPr>
        <w:pStyle w:val="Heading2"/>
      </w:pPr>
      <w:r>
        <w:t>Top CWE Categories</w:t>
      </w:r>
    </w:p>
    <w:p>
      <w:r>
        <w:rPr>
          <w:i/>
        </w:rPr>
        <w:t>[CHART: Top 10 CWE Classifications]</w:t>
      </w:r>
    </w:p>
    <w:p/>
    <w:p>
      <w:pPr>
        <w:pStyle w:val="Heading2"/>
      </w:pPr>
      <w:r>
        <w:t>Finding Discovery Timeline</w:t>
      </w:r>
    </w:p>
    <w:p>
      <w:r>
        <w:rPr>
          <w:i/>
        </w:rPr>
        <w:t>[CHART: Findings discovered over time]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