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 และ totalCompensationAmount &gt; 100000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 และ totalCompensationAmount &lt;= 100000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 section ปลายทางตาม action option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current; reopen target with new task id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06; complete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workflow_tasks; 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compensate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lock/close/open task ตาม transition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ผู้รับอีเมลตาม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 current-open 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กัน action ซ้ำด้วย lock task ปัจจุบัน + closed_at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action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