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จาก API; ใช้แสดงช่วงวงเงินอนุมัติ (&lt;=50,000 จบที่ GM · 50,001-300,000 ผ่าน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ส่งกลับหน่วยงานส่งเสริมธุรกิจ SBP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P-02 เท่านั้น: เห็นควรชดเชย; เห็นควรไม่ชดเชย; ส่งกลับหน่วยงานส่งเสริมธุรกิจ SBP; comment rules: เห็นควรชดเชย: comment optional; เห็นควรไม่ชดเชย: comment ตาม actionOptions.requireComment; ส่งกลับหน่วยงานส่งเสริมธุรกิจ SBP: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"ส่งกลับหน่วยงานส่งเสริมธุรกิจ SBP",</w:t>
              <w:br/>
              <w:t xml:space="preserve">      "label": "ส่งกลับหน่วยงานส่งเสริมธุรกิจ SBP",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02;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"03",</w:t>
              <w:br/>
              <w:t xml:space="preserve">  "nextSection": "03",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ส่งกลับหน่วยงานส่งเสริมธุรกิจ SBP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P-02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02;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ส่งกลับหน่วยงานส่งเสริมธุรกิจ SBP (value='ส่งกลับหน่วยงานส่งเสริมธุรกิจ SBP',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